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bookmarkStart w:id="31" w:name="_GoBack"/>
      <w:bookmarkEnd w:id="31"/>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特克斯县乔拉克铁热克镇人民政府</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特克斯县乔拉克铁热克镇人民政府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27</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Fonts w:hint="eastAsia" w:ascii="仿宋" w:hAnsi="仿宋" w:eastAsia="仿宋" w:cs="仿宋"/>
          <w:b/>
          <w:bCs/>
          <w:sz w:val="32"/>
          <w:szCs w:val="32"/>
          <w:lang w:eastAsia="zh-CN"/>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pStyle w:val="12"/>
        <w:keepNext w:val="0"/>
        <w:keepLines w:val="0"/>
        <w:widowControl/>
        <w:suppressLineNumbers w:val="0"/>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pPr>
        <w:pStyle w:val="12"/>
        <w:keepNext w:val="0"/>
        <w:keepLines w:val="0"/>
        <w:widowControl/>
        <w:suppressLineNumbers w:val="0"/>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党建办公室。主要负责纪检、党务、组织、宣传、机构编制、人事、老干部等工作的规划、管理、协调和监督工作；负责宣传党的各项方针、政策；负责党的基层组织建设和党员队伍建设工作；负责党风廉政建设工作；负责人大、团委、工会、妇联等日常事务；负责政协委员的联络工作；负责“访惠聚”驻村工作、升国旗、农牧民夜校、“民族团结一家亲”、村（社区）考核；负责辖区社团组织的培育、发展和管理；负责组织开展辖区居民的宣传、发动、服务工作；负责特殊群体的帮教帮扶、解决居民困难诉求等工作。</w:t>
      </w:r>
    </w:p>
    <w:p>
      <w:pPr>
        <w:pStyle w:val="12"/>
        <w:keepNext w:val="0"/>
        <w:keepLines w:val="0"/>
        <w:widowControl/>
        <w:suppressLineNumbers w:val="0"/>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经济发展办公室。主要负责农业、农技、农机、林业、畜牧、水利、财政、土地、统计、交通、村镇建设、扶贫开发、招商引资、项目管理、一、二、三产业的规划、管理、服务、协调和监督工作；拟定经济发展、产业结构规划、计划并组织实施；贯彻落实统筹城乡发展、加快推进城乡一体化工作总体部署和目标。</w:t>
      </w:r>
    </w:p>
    <w:p>
      <w:pPr>
        <w:pStyle w:val="12"/>
        <w:keepNext w:val="0"/>
        <w:keepLines w:val="0"/>
        <w:widowControl/>
        <w:suppressLineNumbers w:val="0"/>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社会事务办公室。主要负责政法、社会治安综合治理、****、信访、司法、统战、科技、教育、文化、卫生、体育、广播电视、旅游、****、民政、劳动就业、社会保障、社会救助、退役军人、残疾人、红十字事业的规划、管理、协调和监督工作；负责拟定社会发展规划、计划并组织实施，协助做好镇人武部工作。</w:t>
      </w:r>
    </w:p>
    <w:p>
      <w:pPr>
        <w:pStyle w:val="12"/>
        <w:keepNext w:val="0"/>
        <w:keepLines w:val="0"/>
        <w:widowControl/>
        <w:suppressLineNumbers w:val="0"/>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综合执法办公室。主要负责综合行政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行政执法信息系统建设；负责联系协调县政府相关行政部门派驻乡镇执法人员以及乡镇执法人员在辖区内开展综合行政执法工作。</w:t>
      </w:r>
    </w:p>
    <w:p>
      <w:pPr>
        <w:snapToGrid w:val="0"/>
        <w:spacing w:line="520" w:lineRule="exact"/>
        <w:ind w:firstLine="544" w:firstLineChars="200"/>
        <w:rPr>
          <w:rStyle w:val="16"/>
          <w:rFonts w:hint="default"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综合行政执法队：开展市场监管、文化市场、农业、交通运输、环境保护、村容村貌、规划、建设，住房保障、安全生产、水利、食品药品等领域日常执法检查，一般违法案件查处，依法相对集中行使行政处罚权，以乡镇名义开展执法工作，并接受有关县级主管部门的业务指导和监督。</w:t>
      </w:r>
    </w:p>
    <w:p>
      <w:pPr>
        <w:snapToGrid w:val="0"/>
        <w:spacing w:line="520" w:lineRule="exact"/>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农村合作经济（统计）发展忠中心：主要负责农村经济管理、财务管理等工作；负责农村集体经济，为农村集体经济健康发展提供保障和服务工作；负责镇政府财政预算决算的编制、办理各项收支结算和对帐、报帐工作；履行统计职责。</w:t>
      </w:r>
    </w:p>
    <w:p>
      <w:pPr>
        <w:snapToGrid w:val="0"/>
        <w:spacing w:line="520" w:lineRule="exact"/>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农业（畜牧业）发展服务中心：主要负责农业、畜牧、兽医、草原、林业、农技、农机、水利、科技等方面的服务工作；协助镇政府制定农业、林业、畜牧业、科技等工作的长远发展规划和年度计划并组织实施。</w:t>
      </w:r>
    </w:p>
    <w:p>
      <w:pPr>
        <w:snapToGrid w:val="0"/>
        <w:spacing w:line="520" w:lineRule="exact"/>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村镇规划建设发展中心：主要负责国土资源、规划建设、园林绿化、环境保护、交通等方面的服务工作；协助镇政府制定国土资源、园林绿化、环境保护的长远规划和年度计划并组织实施；协助镇政府贯彻落实统筹城乡发展、加快推进城乡一体化工作总体部署和目标。</w:t>
      </w:r>
    </w:p>
    <w:p>
      <w:pPr>
        <w:snapToGrid w:val="0"/>
        <w:spacing w:line="520" w:lineRule="exact"/>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综治中心（特克斯县特克斯镇网格化服务中心）：负责社会治安综合治理、法治建设、平安创建、网格化管理、安全生产、应急管理、人民武装等方面的服务工作；负责群众信访、矛盾纠纷调解、安置帮教、社区矫正、普法、预防未成年人违法犯罪等工作；负责流动****管理工作，管理指导基层网格员队伍等；协助镇政府制定社会治安综合治理、法治建设、平安创建、网格化管理、安全生产等工作的长远规划和年度计划并组织实施。</w:t>
      </w:r>
    </w:p>
    <w:p>
      <w:pPr>
        <w:snapToGrid w:val="0"/>
        <w:spacing w:line="520" w:lineRule="exact"/>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和****生殖健康服务站：负责宣传党和国家有关****的方针、政策、法律，普及****科学知识，负责开展****技术、优生优育等方面和科技引进推广活动；负责做好地方卫生防疫、地方病防治和公共卫生监督等工作；负责承担妇幼保健技术指导、健康教育的宣传工作。</w:t>
      </w:r>
    </w:p>
    <w:p>
      <w:pPr>
        <w:snapToGrid w:val="0"/>
        <w:spacing w:line="520" w:lineRule="exact"/>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社会保障（民政）服务中心：负责民政、教育、劳动就业、社会保障、社会救助、退役军、残疾人事业、红十字会等方面的服务工作；协助镇政府制定民政、教育、劳动就业、社会保障、社会救助、退役军等工作的长远发展规划和年度计划并组织实施。</w:t>
      </w:r>
    </w:p>
    <w:p>
      <w:pPr>
        <w:snapToGrid w:val="0"/>
        <w:spacing w:line="520" w:lineRule="exact"/>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文体广电旅游服务中心：主要负责文化、宣传、体育、广播电视、旅游等方面的服务工作；协助镇政府制定文化、宣传等工作的长远发展规划和年度计划并组织实施。</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特克斯县乔拉克铁热克镇</w:t>
      </w:r>
      <w:r>
        <w:rPr>
          <w:rStyle w:val="16"/>
          <w:rFonts w:hint="eastAsia" w:ascii="仿宋_GB2312" w:hAnsi="楷体" w:eastAsia="仿宋_GB2312"/>
          <w:b w:val="0"/>
          <w:spacing w:val="-4"/>
          <w:sz w:val="28"/>
          <w:szCs w:val="28"/>
        </w:rPr>
        <w:t>的预算包括：</w:t>
      </w:r>
      <w:r>
        <w:rPr>
          <w:rStyle w:val="16"/>
          <w:rFonts w:hint="eastAsia" w:ascii="仿宋_GB2312" w:hAnsi="楷体" w:eastAsia="仿宋_GB2312"/>
          <w:b w:val="0"/>
          <w:spacing w:val="-4"/>
          <w:sz w:val="28"/>
          <w:szCs w:val="28"/>
          <w:lang w:eastAsia="zh-CN"/>
        </w:rPr>
        <w:t>特克斯县乔拉克铁热克镇人民政府及党委</w:t>
      </w:r>
      <w:r>
        <w:rPr>
          <w:rStyle w:val="16"/>
          <w:rFonts w:hint="eastAsia" w:ascii="仿宋_GB2312" w:hAnsi="楷体" w:eastAsia="仿宋_GB2312"/>
          <w:b w:val="0"/>
          <w:spacing w:val="-4"/>
          <w:sz w:val="28"/>
          <w:szCs w:val="28"/>
        </w:rPr>
        <w:t>本级预算及下属</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家预算单位在内的汇总预算。</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特克斯县乔拉克铁热克镇</w:t>
      </w:r>
      <w:r>
        <w:rPr>
          <w:rStyle w:val="16"/>
          <w:rFonts w:hint="eastAsia" w:ascii="仿宋_GB2312" w:hAnsi="楷体" w:eastAsia="仿宋_GB2312"/>
          <w:b w:val="0"/>
          <w:spacing w:val="-4"/>
          <w:sz w:val="28"/>
          <w:szCs w:val="28"/>
        </w:rPr>
        <w:t>本级下设</w:t>
      </w:r>
      <w:r>
        <w:rPr>
          <w:rStyle w:val="16"/>
          <w:rFonts w:hint="eastAsia" w:ascii="仿宋_GB2312" w:hAnsi="楷体" w:eastAsia="仿宋_GB2312"/>
          <w:b w:val="0"/>
          <w:spacing w:val="-4"/>
          <w:sz w:val="28"/>
          <w:szCs w:val="28"/>
          <w:lang w:val="en-US" w:eastAsia="zh-CN"/>
        </w:rPr>
        <w:t>10</w:t>
      </w:r>
      <w:r>
        <w:rPr>
          <w:rStyle w:val="16"/>
          <w:rFonts w:hint="eastAsia" w:ascii="仿宋_GB2312" w:hAnsi="楷体" w:eastAsia="仿宋_GB2312"/>
          <w:b w:val="0"/>
          <w:spacing w:val="-4"/>
          <w:sz w:val="28"/>
          <w:szCs w:val="28"/>
        </w:rPr>
        <w:t>个科室是：</w:t>
      </w:r>
      <w:r>
        <w:rPr>
          <w:rStyle w:val="16"/>
          <w:rFonts w:hint="eastAsia" w:ascii="仿宋_GB2312" w:hAnsi="楷体" w:eastAsia="仿宋_GB2312"/>
          <w:b w:val="0"/>
          <w:spacing w:val="-4"/>
          <w:sz w:val="28"/>
          <w:szCs w:val="28"/>
          <w:lang w:eastAsia="zh-CN"/>
        </w:rPr>
        <w:t>党政办公室、党建办公室、经济发展办公室、****办公室、文化活动办公室、社会事务办公室、农业发展办公室、国土规划办公室、综合治理办公室、综合执法办公室。</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本单位中，行政单位</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家，事业单位</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家，纳入</w:t>
      </w:r>
      <w:r>
        <w:rPr>
          <w:rStyle w:val="16"/>
          <w:rFonts w:hint="eastAsia" w:ascii="仿宋_GB2312" w:hAnsi="楷体" w:eastAsia="仿宋_GB2312"/>
          <w:b w:val="0"/>
          <w:spacing w:val="-4"/>
          <w:sz w:val="28"/>
          <w:szCs w:val="28"/>
          <w:lang w:eastAsia="zh-CN"/>
        </w:rPr>
        <w:t>特克斯县乔拉克铁热克镇</w:t>
      </w:r>
      <w:r>
        <w:rPr>
          <w:rStyle w:val="16"/>
          <w:rFonts w:hint="eastAsia" w:ascii="仿宋_GB2312" w:hAnsi="楷体" w:eastAsia="仿宋_GB2312"/>
          <w:b w:val="0"/>
          <w:spacing w:val="-4"/>
          <w:sz w:val="28"/>
          <w:szCs w:val="28"/>
          <w:lang w:val="en-US" w:eastAsia="zh-CN"/>
        </w:rPr>
        <w:t>2021</w:t>
      </w:r>
      <w:r>
        <w:rPr>
          <w:rStyle w:val="16"/>
          <w:rFonts w:hint="eastAsia" w:ascii="仿宋_GB2312" w:hAnsi="楷体" w:eastAsia="仿宋_GB2312"/>
          <w:b w:val="0"/>
          <w:spacing w:val="-4"/>
          <w:sz w:val="28"/>
          <w:szCs w:val="28"/>
        </w:rPr>
        <w:t>年部预算编制范围的二级预算单位包括：</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1.特克斯县乔拉克铁热克镇农村合作经济（统计）发展中心（特克斯县乔拉克铁热克镇财政所）</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2.特克斯县乔拉克铁热克镇</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和</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生殖健康服务站</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3.特克斯县乔拉克铁热克镇文体广电旅游服务中心</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4.特克斯县乔拉克铁热克镇社会保障（民政）服务中心（特克斯县乔拉克铁热克镇退役军人服务站）</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5.特克斯县乔拉克铁热克镇农业(畜牧业）发展服务中心</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6.特克斯县乔拉克铁热克镇村镇规划建设发展中心（特克斯县乔拉克铁热克镇生态环境工作站）</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7.特克斯县乔拉克铁热克镇综治中心（特克斯县乔拉克铁热克镇网格化服务中心）</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8.特克斯县乔拉克铁热克镇综合行政执法队</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b w:val="0"/>
          <w:spacing w:val="-4"/>
          <w:sz w:val="28"/>
          <w:szCs w:val="28"/>
          <w:lang w:val="en-US" w:eastAsia="zh-CN"/>
        </w:rPr>
        <w:t>特克斯县乔拉克铁热克镇</w:t>
      </w:r>
      <w:r>
        <w:rPr>
          <w:rStyle w:val="16"/>
          <w:rFonts w:hint="eastAsia" w:ascii="仿宋_GB2312" w:hAnsi="楷体" w:eastAsia="仿宋_GB2312"/>
          <w:b w:val="0"/>
          <w:spacing w:val="-4"/>
          <w:sz w:val="28"/>
          <w:szCs w:val="28"/>
          <w:highlight w:val="none"/>
        </w:rPr>
        <w:t>实有在职人员为</w:t>
      </w:r>
      <w:r>
        <w:rPr>
          <w:rStyle w:val="16"/>
          <w:rFonts w:hint="eastAsia" w:ascii="仿宋_GB2312" w:hAnsi="楷体" w:eastAsia="仿宋_GB2312"/>
          <w:b w:val="0"/>
          <w:spacing w:val="-4"/>
          <w:sz w:val="28"/>
          <w:szCs w:val="28"/>
          <w:highlight w:val="none"/>
          <w:lang w:val="en-US" w:eastAsia="zh-CN"/>
        </w:rPr>
        <w:t>184</w:t>
      </w:r>
      <w:r>
        <w:rPr>
          <w:rStyle w:val="16"/>
          <w:rFonts w:hint="eastAsia" w:ascii="仿宋_GB2312" w:hAnsi="楷体" w:eastAsia="仿宋_GB2312"/>
          <w:b w:val="0"/>
          <w:spacing w:val="-4"/>
          <w:sz w:val="28"/>
          <w:szCs w:val="28"/>
          <w:highlight w:val="none"/>
        </w:rPr>
        <w:t>人，</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color w:val="auto"/>
          <w:spacing w:val="-4"/>
          <w:sz w:val="28"/>
          <w:szCs w:val="28"/>
          <w:lang w:val="en-US" w:eastAsia="zh-CN"/>
        </w:rPr>
        <w:t>9</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33</w:t>
      </w:r>
      <w:r>
        <w:rPr>
          <w:rStyle w:val="16"/>
          <w:rFonts w:hint="eastAsia" w:ascii="仿宋_GB2312" w:hAnsi="楷体" w:eastAsia="仿宋_GB2312"/>
          <w:b w:val="0"/>
          <w:color w:val="auto"/>
          <w:spacing w:val="-4"/>
          <w:sz w:val="28"/>
          <w:szCs w:val="28"/>
        </w:rPr>
        <w:t>人），同比上年增加</w:t>
      </w:r>
      <w:r>
        <w:rPr>
          <w:rStyle w:val="16"/>
          <w:rFonts w:hint="eastAsia" w:ascii="仿宋_GB2312" w:hAnsi="楷体" w:eastAsia="仿宋_GB2312"/>
          <w:b w:val="0"/>
          <w:color w:val="auto"/>
          <w:spacing w:val="-4"/>
          <w:sz w:val="28"/>
          <w:szCs w:val="28"/>
          <w:lang w:val="en-US" w:eastAsia="zh-CN"/>
        </w:rPr>
        <w:t>6</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lang w:val="en-US" w:eastAsia="zh-CN"/>
        </w:rPr>
        <w:t>事业在职145人（上年138人），同比上年增加7人；</w:t>
      </w:r>
    </w:p>
    <w:p>
      <w:pPr>
        <w:spacing w:line="360" w:lineRule="auto"/>
        <w:ind w:firstLine="544" w:firstLineChars="200"/>
        <w:rPr>
          <w:rStyle w:val="16"/>
          <w:rFonts w:hint="eastAsia" w:ascii="仿宋_GB2312" w:hAnsi="楷体" w:eastAsia="仿宋_GB2312"/>
          <w:b w:val="0"/>
          <w:color w:val="auto"/>
          <w:spacing w:val="-4"/>
          <w:sz w:val="28"/>
          <w:szCs w:val="28"/>
          <w:lang w:eastAsia="zh-CN"/>
        </w:rPr>
      </w:pPr>
      <w:r>
        <w:rPr>
          <w:rStyle w:val="16"/>
          <w:rFonts w:hint="eastAsia" w:ascii="仿宋_GB2312" w:hAnsi="楷体" w:eastAsia="仿宋_GB2312"/>
          <w:b w:val="0"/>
          <w:color w:val="auto"/>
          <w:spacing w:val="-4"/>
          <w:sz w:val="28"/>
          <w:szCs w:val="28"/>
        </w:rPr>
        <w:t>实有离休人员</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6"/>
          <w:rFonts w:hint="eastAsia" w:ascii="仿宋_GB2312" w:hAnsi="楷体" w:eastAsia="仿宋_GB2312"/>
          <w:b w:val="0"/>
          <w:color w:val="auto"/>
          <w:spacing w:val="-4"/>
          <w:sz w:val="28"/>
          <w:szCs w:val="28"/>
        </w:rPr>
        <w:t>与上年一致</w:t>
      </w:r>
      <w:r>
        <w:rPr>
          <w:rStyle w:val="16"/>
          <w:rFonts w:hint="eastAsia" w:ascii="仿宋_GB2312" w:hAnsi="楷体" w:eastAsia="仿宋_GB2312"/>
          <w:b w:val="0"/>
          <w:color w:val="auto"/>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53</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51</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b w:val="0"/>
          <w:spacing w:val="-4"/>
          <w:sz w:val="28"/>
          <w:szCs w:val="28"/>
        </w:rPr>
        <w:t>同比上年</w:t>
      </w:r>
      <w:r>
        <w:rPr>
          <w:rStyle w:val="16"/>
          <w:rFonts w:hint="eastAsia" w:ascii="仿宋_GB2312" w:hAnsi="楷体" w:eastAsia="仿宋_GB2312"/>
          <w:b w:val="0"/>
          <w:color w:val="auto"/>
          <w:spacing w:val="-4"/>
          <w:sz w:val="28"/>
          <w:szCs w:val="28"/>
        </w:rPr>
        <w:t>增加</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人</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rPr>
      </w:pPr>
      <w:bookmarkStart w:id="6" w:name="_Toc70450294"/>
      <w:r>
        <w:rPr>
          <w:rStyle w:val="16"/>
          <w:rFonts w:ascii="仿宋_GB2312" w:hAnsi="楷体" w:eastAsia="仿宋_GB2312"/>
          <w:b w:val="0"/>
          <w:spacing w:val="-4"/>
          <w:sz w:val="28"/>
          <w:szCs w:val="28"/>
        </w:rPr>
        <w:t>1.认真贯彻落实党的十九届三中、四中、五中全会精神，深入践行党的群众路线，加快生态文明建设步伐，抓好招商引资，人才引进项目开发，不断培育市场体系，组织经济运行，促进经济发展。</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pPr>
        <w:spacing w:line="360" w:lineRule="auto"/>
        <w:ind w:firstLine="544" w:firstLineChars="200"/>
        <w:rPr>
          <w:b/>
          <w:bCs/>
        </w:rPr>
      </w:pPr>
      <w:r>
        <w:rPr>
          <w:rStyle w:val="16"/>
          <w:rFonts w:ascii="仿宋_GB2312" w:hAnsi="楷体" w:eastAsia="仿宋_GB2312"/>
          <w:b w:val="0"/>
          <w:spacing w:val="-4"/>
          <w:sz w:val="28"/>
          <w:szCs w:val="28"/>
        </w:rPr>
        <w:t>3.保证单位财政供养人员基本工资、津贴补贴、艰边补助预算的收支，保证单位工作正常开展和各项任务顺利完成。</w:t>
      </w:r>
    </w:p>
    <w:p>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hint="eastAsia" w:ascii="仿宋" w:hAnsi="仿宋" w:eastAsia="仿宋"/>
          <w:b/>
          <w:bCs/>
        </w:rPr>
      </w:pPr>
      <w:bookmarkStart w:id="8" w:name="_Toc70450295"/>
      <w:r>
        <w:rPr>
          <w:rStyle w:val="16"/>
          <w:rFonts w:hint="eastAsia" w:ascii="仿宋" w:hAnsi="仿宋" w:eastAsia="仿宋"/>
          <w:b/>
          <w:bCs/>
        </w:rPr>
        <w:t>1、部门单位整体支出规模</w:t>
      </w:r>
      <w:bookmarkEnd w:id="8"/>
    </w:p>
    <w:p>
      <w:pPr>
        <w:pStyle w:val="5"/>
        <w:spacing w:line="360" w:lineRule="auto"/>
        <w:ind w:firstLine="544" w:firstLineChars="200"/>
        <w:rPr>
          <w:rStyle w:val="16"/>
          <w:rFonts w:ascii="仿宋_GB2312" w:hAnsi="楷体" w:eastAsia="仿宋_GB2312"/>
          <w:b w:val="0"/>
          <w:bCs/>
          <w:spacing w:val="-4"/>
          <w:sz w:val="28"/>
          <w:szCs w:val="28"/>
        </w:rPr>
      </w:pPr>
      <w:r>
        <w:rPr>
          <w:rStyle w:val="16"/>
          <w:rFonts w:hint="eastAsia" w:ascii="仿宋_GB2312" w:hAnsi="楷体" w:eastAsia="仿宋_GB2312"/>
          <w:b w:val="0"/>
          <w:bCs/>
          <w:spacing w:val="-4"/>
          <w:sz w:val="28"/>
          <w:szCs w:val="28"/>
        </w:rPr>
        <w:t>2021年批复我</w:t>
      </w:r>
      <w:r>
        <w:rPr>
          <w:rStyle w:val="16"/>
          <w:rFonts w:hint="eastAsia" w:ascii="仿宋_GB2312" w:hAnsi="楷体" w:eastAsia="仿宋_GB2312"/>
          <w:b w:val="0"/>
          <w:bCs/>
          <w:color w:val="auto"/>
          <w:spacing w:val="-4"/>
          <w:sz w:val="28"/>
          <w:szCs w:val="28"/>
        </w:rPr>
        <w:t>单位</w:t>
      </w:r>
      <w:r>
        <w:rPr>
          <w:rStyle w:val="16"/>
          <w:rFonts w:hint="eastAsia" w:ascii="仿宋_GB2312" w:hAnsi="楷体" w:eastAsia="仿宋_GB2312"/>
          <w:b w:val="0"/>
          <w:bCs/>
          <w:spacing w:val="-4"/>
          <w:sz w:val="28"/>
          <w:szCs w:val="28"/>
        </w:rPr>
        <w:t>预算</w:t>
      </w:r>
      <w:r>
        <w:rPr>
          <w:rStyle w:val="16"/>
          <w:rFonts w:hint="eastAsia" w:ascii="仿宋_GB2312" w:hAnsi="楷体" w:eastAsia="仿宋_GB2312" w:cs="Times New Roman"/>
          <w:b w:val="0"/>
          <w:bCs/>
          <w:spacing w:val="-4"/>
          <w:sz w:val="28"/>
          <w:szCs w:val="28"/>
        </w:rPr>
        <w:t>为</w:t>
      </w:r>
      <w:r>
        <w:rPr>
          <w:rStyle w:val="16"/>
          <w:rFonts w:hint="eastAsia" w:ascii="仿宋_GB2312" w:hAnsi="楷体" w:eastAsia="仿宋_GB2312"/>
          <w:b w:val="0"/>
          <w:bCs/>
          <w:spacing w:val="-4"/>
          <w:sz w:val="28"/>
          <w:szCs w:val="28"/>
          <w:lang w:val="en-US" w:eastAsia="zh-CN"/>
        </w:rPr>
        <w:t>4725.68</w:t>
      </w:r>
      <w:r>
        <w:rPr>
          <w:rStyle w:val="16"/>
          <w:rFonts w:hint="eastAsia" w:ascii="仿宋_GB2312" w:hAnsi="楷体" w:eastAsia="仿宋_GB2312" w:cs="Times New Roman"/>
          <w:b w:val="0"/>
          <w:bCs/>
          <w:spacing w:val="-4"/>
          <w:sz w:val="28"/>
          <w:szCs w:val="28"/>
        </w:rPr>
        <w:t>万元</w:t>
      </w:r>
      <w:r>
        <w:rPr>
          <w:rStyle w:val="16"/>
          <w:rFonts w:hint="eastAsia" w:ascii="仿宋_GB2312" w:hAnsi="楷体" w:eastAsia="仿宋_GB2312"/>
          <w:b w:val="0"/>
          <w:bCs/>
          <w:spacing w:val="-4"/>
          <w:sz w:val="28"/>
          <w:szCs w:val="28"/>
        </w:rPr>
        <w:t>，其中：财政拨款为</w:t>
      </w:r>
      <w:r>
        <w:rPr>
          <w:rStyle w:val="16"/>
          <w:rFonts w:hint="eastAsia" w:ascii="仿宋_GB2312" w:hAnsi="楷体" w:eastAsia="仿宋_GB2312" w:cs="Times New Roman"/>
          <w:b w:val="0"/>
          <w:bCs/>
          <w:spacing w:val="-4"/>
          <w:sz w:val="28"/>
          <w:szCs w:val="28"/>
        </w:rPr>
        <w:t xml:space="preserve"> </w:t>
      </w:r>
      <w:r>
        <w:rPr>
          <w:rStyle w:val="16"/>
          <w:rFonts w:hint="eastAsia" w:ascii="仿宋_GB2312" w:hAnsi="楷体" w:eastAsia="仿宋_GB2312" w:cs="Times New Roman"/>
          <w:b w:val="0"/>
          <w:bCs/>
          <w:spacing w:val="-4"/>
          <w:sz w:val="28"/>
          <w:szCs w:val="28"/>
          <w:lang w:val="en-US" w:eastAsia="zh-CN"/>
        </w:rPr>
        <w:t>4581.79</w:t>
      </w:r>
      <w:r>
        <w:rPr>
          <w:rStyle w:val="16"/>
          <w:rFonts w:hint="eastAsia" w:ascii="仿宋_GB2312" w:hAnsi="楷体" w:eastAsia="仿宋_GB2312"/>
          <w:b w:val="0"/>
          <w:bCs/>
          <w:spacing w:val="-4"/>
          <w:sz w:val="28"/>
          <w:szCs w:val="28"/>
        </w:rPr>
        <w:t>万元，单位其他资金收入</w:t>
      </w:r>
      <w:r>
        <w:rPr>
          <w:rStyle w:val="16"/>
          <w:rFonts w:hint="eastAsia" w:ascii="仿宋_GB2312" w:hAnsi="楷体" w:eastAsia="仿宋_GB2312"/>
          <w:b w:val="0"/>
          <w:bCs/>
          <w:spacing w:val="-4"/>
          <w:sz w:val="28"/>
          <w:szCs w:val="28"/>
          <w:lang w:val="en-US" w:eastAsia="zh-CN"/>
        </w:rPr>
        <w:t>143.89</w:t>
      </w:r>
      <w:r>
        <w:rPr>
          <w:rStyle w:val="16"/>
          <w:rFonts w:hint="eastAsia" w:ascii="仿宋_GB2312" w:hAnsi="楷体" w:eastAsia="仿宋_GB2312"/>
          <w:b w:val="0"/>
          <w:bCs/>
          <w:spacing w:val="-4"/>
          <w:sz w:val="28"/>
          <w:szCs w:val="28"/>
        </w:rPr>
        <w:t>万元</w:t>
      </w:r>
      <w:r>
        <w:rPr>
          <w:rStyle w:val="16"/>
          <w:rFonts w:hint="eastAsia" w:ascii="仿宋_GB2312" w:hAnsi="楷体" w:eastAsia="仿宋_GB2312"/>
          <w:b w:val="0"/>
          <w:bCs/>
          <w:spacing w:val="-4"/>
          <w:sz w:val="28"/>
          <w:szCs w:val="28"/>
          <w:lang w:eastAsia="zh-CN"/>
        </w:rPr>
        <w:t>。</w:t>
      </w:r>
      <w:r>
        <w:rPr>
          <w:rStyle w:val="16"/>
          <w:rFonts w:hint="eastAsia" w:ascii="仿宋_GB2312" w:hAnsi="楷体" w:eastAsia="仿宋_GB2312"/>
          <w:b w:val="0"/>
          <w:bCs/>
          <w:spacing w:val="-4"/>
          <w:sz w:val="28"/>
          <w:szCs w:val="28"/>
          <w:highlight w:val="none"/>
        </w:rPr>
        <w:t>年中追加资金</w:t>
      </w:r>
      <w:r>
        <w:rPr>
          <w:rStyle w:val="16"/>
          <w:rFonts w:hint="eastAsia" w:ascii="仿宋_GB2312" w:hAnsi="楷体" w:eastAsia="仿宋_GB2312"/>
          <w:b w:val="0"/>
          <w:bCs/>
          <w:spacing w:val="-4"/>
          <w:sz w:val="28"/>
          <w:szCs w:val="28"/>
          <w:highlight w:val="none"/>
          <w:lang w:val="en-US" w:eastAsia="zh-CN"/>
        </w:rPr>
        <w:t>2775.8</w:t>
      </w:r>
      <w:r>
        <w:rPr>
          <w:rStyle w:val="16"/>
          <w:rFonts w:hint="eastAsia" w:ascii="仿宋_GB2312" w:hAnsi="楷体" w:eastAsia="仿宋_GB2312"/>
          <w:b w:val="0"/>
          <w:bCs/>
          <w:spacing w:val="-4"/>
          <w:sz w:val="28"/>
          <w:szCs w:val="28"/>
          <w:highlight w:val="none"/>
        </w:rPr>
        <w:t>万元，调整率</w:t>
      </w:r>
      <w:r>
        <w:rPr>
          <w:rStyle w:val="16"/>
          <w:rFonts w:hint="eastAsia" w:ascii="仿宋_GB2312" w:hAnsi="楷体" w:eastAsia="仿宋_GB2312"/>
          <w:b w:val="0"/>
          <w:bCs/>
          <w:spacing w:val="-4"/>
          <w:sz w:val="28"/>
          <w:szCs w:val="28"/>
          <w:highlight w:val="none"/>
          <w:lang w:val="en-US" w:eastAsia="zh-CN"/>
        </w:rPr>
        <w:t>142.36</w:t>
      </w:r>
      <w:r>
        <w:rPr>
          <w:rStyle w:val="16"/>
          <w:rFonts w:hint="eastAsia" w:ascii="仿宋_GB2312" w:hAnsi="楷体" w:eastAsia="仿宋_GB2312"/>
          <w:b w:val="0"/>
          <w:bCs/>
          <w:spacing w:val="-4"/>
          <w:sz w:val="28"/>
          <w:szCs w:val="28"/>
          <w:highlight w:val="none"/>
        </w:rPr>
        <w:t>%。对比上年5199.78万元减少</w:t>
      </w:r>
      <w:r>
        <w:rPr>
          <w:rStyle w:val="16"/>
          <w:rFonts w:hint="eastAsia" w:ascii="仿宋_GB2312" w:hAnsi="楷体" w:eastAsia="仿宋_GB2312"/>
          <w:b w:val="0"/>
          <w:bCs/>
          <w:spacing w:val="-4"/>
          <w:sz w:val="28"/>
          <w:szCs w:val="28"/>
          <w:highlight w:val="none"/>
          <w:lang w:val="en-US" w:eastAsia="zh-CN"/>
        </w:rPr>
        <w:t>474</w:t>
      </w:r>
      <w:r>
        <w:rPr>
          <w:rStyle w:val="16"/>
          <w:rFonts w:hint="eastAsia" w:ascii="仿宋_GB2312" w:hAnsi="楷体" w:eastAsia="仿宋_GB2312"/>
          <w:b w:val="0"/>
          <w:bCs/>
          <w:spacing w:val="-4"/>
          <w:sz w:val="28"/>
          <w:szCs w:val="28"/>
          <w:lang w:val="en-US" w:eastAsia="zh-CN"/>
        </w:rPr>
        <w:t>.10</w:t>
      </w:r>
      <w:r>
        <w:rPr>
          <w:rStyle w:val="16"/>
          <w:rFonts w:hint="eastAsia" w:ascii="仿宋_GB2312" w:hAnsi="楷体" w:eastAsia="仿宋_GB2312"/>
          <w:b w:val="0"/>
          <w:bCs/>
          <w:spacing w:val="-4"/>
          <w:sz w:val="28"/>
          <w:szCs w:val="28"/>
        </w:rPr>
        <w:t>万元，下降</w:t>
      </w:r>
      <w:r>
        <w:rPr>
          <w:rStyle w:val="16"/>
          <w:rFonts w:hint="eastAsia" w:ascii="仿宋_GB2312" w:hAnsi="楷体" w:eastAsia="仿宋_GB2312"/>
          <w:b w:val="0"/>
          <w:bCs/>
          <w:spacing w:val="-4"/>
          <w:sz w:val="28"/>
          <w:szCs w:val="28"/>
          <w:lang w:val="en-US" w:eastAsia="zh-CN"/>
        </w:rPr>
        <w:t>9.12</w:t>
      </w:r>
      <w:r>
        <w:rPr>
          <w:rStyle w:val="16"/>
          <w:rFonts w:hint="eastAsia" w:ascii="仿宋_GB2312" w:hAnsi="楷体" w:eastAsia="仿宋_GB2312"/>
          <w:b w:val="0"/>
          <w:bCs/>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4725.68</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（1）基本支出4256.8</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90.08</w:t>
      </w:r>
      <w:r>
        <w:rPr>
          <w:rStyle w:val="16"/>
          <w:rFonts w:hint="eastAsia" w:ascii="仿宋_GB2312" w:hAnsi="楷体" w:eastAsia="仿宋_GB2312"/>
          <w:b w:val="0"/>
          <w:spacing w:val="-4"/>
          <w:sz w:val="28"/>
          <w:szCs w:val="28"/>
        </w:rPr>
        <w:t>％，主要用于本</w:t>
      </w:r>
      <w:r>
        <w:rPr>
          <w:rStyle w:val="16"/>
          <w:rFonts w:hint="eastAsia" w:ascii="仿宋_GB2312" w:hAnsi="楷体" w:eastAsia="仿宋_GB2312"/>
          <w:b w:val="0"/>
          <w:color w:val="auto"/>
          <w:spacing w:val="-4"/>
          <w:sz w:val="28"/>
          <w:szCs w:val="28"/>
        </w:rPr>
        <w:t>单位机</w:t>
      </w:r>
      <w:r>
        <w:rPr>
          <w:rStyle w:val="16"/>
          <w:rFonts w:hint="eastAsia" w:ascii="仿宋_GB2312" w:hAnsi="楷体" w:eastAsia="仿宋_GB2312"/>
          <w:b w:val="0"/>
          <w:spacing w:val="-4"/>
          <w:sz w:val="28"/>
          <w:szCs w:val="28"/>
        </w:rPr>
        <w:t>构正常运转、完成日常工作任务而发生的各项支出。其中：工资福利支出</w:t>
      </w:r>
      <w:r>
        <w:rPr>
          <w:rStyle w:val="16"/>
          <w:rFonts w:hint="eastAsia" w:ascii="仿宋_GB2312" w:hAnsi="楷体" w:eastAsia="仿宋_GB2312" w:cs="Times New Roman"/>
          <w:b w:val="0"/>
          <w:spacing w:val="-4"/>
          <w:sz w:val="28"/>
          <w:szCs w:val="28"/>
          <w:lang w:val="en-US" w:eastAsia="zh-CN"/>
        </w:rPr>
        <w:t>2734.24</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646.05</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876.54</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访惠聚人员补助、临时救助、JW人员生活补助、****双联户人员补助、疫情个体工商户补助等</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无</w:t>
      </w:r>
      <w:r>
        <w:rPr>
          <w:rStyle w:val="16"/>
          <w:rFonts w:hint="eastAsia" w:ascii="仿宋_GB2312" w:hAnsi="楷体" w:eastAsia="仿宋_GB2312"/>
          <w:b w:val="0"/>
          <w:spacing w:val="-4"/>
          <w:sz w:val="28"/>
          <w:szCs w:val="28"/>
        </w:rPr>
        <w:t xml:space="preserve">。 </w:t>
      </w:r>
      <w:r>
        <w:rPr>
          <w:rStyle w:val="16"/>
          <w:rFonts w:ascii="仿宋_GB2312" w:hAnsi="楷体" w:eastAsia="仿宋_GB2312"/>
          <w:b w:val="0"/>
          <w:spacing w:val="-4"/>
          <w:sz w:val="28"/>
          <w:szCs w:val="28"/>
        </w:rPr>
        <w:t xml:space="preserve"> </w:t>
      </w:r>
    </w:p>
    <w:p>
      <w:pPr>
        <w:spacing w:line="360" w:lineRule="auto"/>
        <w:ind w:firstLine="544" w:firstLineChars="200"/>
        <w:rPr>
          <w:rStyle w:val="16"/>
          <w:rFonts w:hint="eastAsia" w:ascii="仿宋_GB2312" w:hAnsi="楷体" w:eastAsia="仿宋_GB2312"/>
          <w:b w:val="0"/>
          <w:color w:val="auto"/>
          <w:spacing w:val="-4"/>
          <w:sz w:val="28"/>
          <w:szCs w:val="28"/>
          <w:lang w:eastAsia="zh-CN"/>
        </w:rPr>
      </w:pPr>
      <w:r>
        <w:rPr>
          <w:rStyle w:val="16"/>
          <w:rFonts w:hint="eastAsia" w:ascii="仿宋_GB2312" w:hAnsi="楷体" w:eastAsia="仿宋_GB2312"/>
          <w:b w:val="0"/>
          <w:color w:val="auto"/>
          <w:spacing w:val="-4"/>
          <w:sz w:val="28"/>
          <w:szCs w:val="28"/>
        </w:rPr>
        <w:t>（</w:t>
      </w:r>
      <w:r>
        <w:rPr>
          <w:rStyle w:val="16"/>
          <w:rFonts w:ascii="仿宋_GB2312" w:hAnsi="楷体" w:eastAsia="仿宋_GB2312"/>
          <w:b w:val="0"/>
          <w:color w:val="auto"/>
          <w:spacing w:val="-4"/>
          <w:sz w:val="28"/>
          <w:szCs w:val="28"/>
        </w:rPr>
        <w:t>2</w:t>
      </w:r>
      <w:r>
        <w:rPr>
          <w:rStyle w:val="16"/>
          <w:rFonts w:hint="eastAsia" w:ascii="仿宋_GB2312" w:hAnsi="楷体" w:eastAsia="仿宋_GB2312"/>
          <w:b w:val="0"/>
          <w:color w:val="auto"/>
          <w:spacing w:val="-4"/>
          <w:sz w:val="28"/>
          <w:szCs w:val="28"/>
        </w:rPr>
        <w:t>）项目支出468.85万元，占总支出的</w:t>
      </w:r>
      <w:r>
        <w:rPr>
          <w:rStyle w:val="16"/>
          <w:rFonts w:hint="eastAsia" w:ascii="仿宋_GB2312" w:hAnsi="楷体" w:eastAsia="仿宋_GB2312"/>
          <w:b w:val="0"/>
          <w:color w:val="auto"/>
          <w:spacing w:val="-4"/>
          <w:sz w:val="28"/>
          <w:szCs w:val="28"/>
          <w:lang w:val="en-US" w:eastAsia="zh-CN"/>
        </w:rPr>
        <w:t>9.92</w:t>
      </w:r>
      <w:r>
        <w:rPr>
          <w:rStyle w:val="16"/>
          <w:rFonts w:hint="eastAsia" w:ascii="仿宋_GB2312" w:hAnsi="楷体" w:eastAsia="仿宋_GB2312"/>
          <w:b w:val="0"/>
          <w:color w:val="auto"/>
          <w:spacing w:val="-4"/>
          <w:sz w:val="28"/>
          <w:szCs w:val="28"/>
        </w:rPr>
        <w:t>％。其中：2020年均衡性转移支付（自治区人居环境整治）：农村改厕项目项目安排</w:t>
      </w:r>
      <w:r>
        <w:rPr>
          <w:rStyle w:val="16"/>
          <w:rFonts w:hint="eastAsia" w:ascii="仿宋_GB2312" w:hAnsi="楷体" w:eastAsia="仿宋_GB2312"/>
          <w:b w:val="0"/>
          <w:color w:val="auto"/>
          <w:spacing w:val="-4"/>
          <w:sz w:val="28"/>
          <w:szCs w:val="28"/>
          <w:lang w:val="en-US" w:eastAsia="zh-CN"/>
        </w:rPr>
        <w:t>35</w:t>
      </w:r>
      <w:r>
        <w:rPr>
          <w:rStyle w:val="16"/>
          <w:rFonts w:hint="eastAsia" w:ascii="仿宋_GB2312" w:hAnsi="楷体" w:eastAsia="仿宋_GB2312"/>
          <w:b w:val="0"/>
          <w:color w:val="auto"/>
          <w:spacing w:val="-4"/>
          <w:sz w:val="28"/>
          <w:szCs w:val="28"/>
        </w:rPr>
        <w:t>万元，主要用于完成农村改厕</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rPr>
        <w:t>乔镇农村安全饮水工程（阿特恰比斯村，塔斯巴斯陶村）项目安排</w:t>
      </w:r>
      <w:r>
        <w:rPr>
          <w:rStyle w:val="16"/>
          <w:rFonts w:hint="eastAsia" w:ascii="仿宋_GB2312" w:hAnsi="楷体" w:eastAsia="仿宋_GB2312"/>
          <w:b w:val="0"/>
          <w:color w:val="auto"/>
          <w:spacing w:val="-4"/>
          <w:sz w:val="28"/>
          <w:szCs w:val="28"/>
          <w:lang w:val="en-US" w:eastAsia="zh-CN"/>
        </w:rPr>
        <w:t>6.06</w:t>
      </w:r>
      <w:r>
        <w:rPr>
          <w:rStyle w:val="16"/>
          <w:rFonts w:hint="eastAsia" w:ascii="仿宋_GB2312" w:hAnsi="楷体" w:eastAsia="仿宋_GB2312"/>
          <w:b w:val="0"/>
          <w:color w:val="auto"/>
          <w:spacing w:val="-4"/>
          <w:sz w:val="28"/>
          <w:szCs w:val="28"/>
        </w:rPr>
        <w:t>万元，主要用于完成农村安全饮水</w:t>
      </w:r>
      <w:r>
        <w:rPr>
          <w:rStyle w:val="16"/>
          <w:rFonts w:hint="eastAsia" w:ascii="仿宋_GB2312" w:hAnsi="楷体" w:eastAsia="仿宋_GB2312"/>
          <w:b w:val="0"/>
          <w:color w:val="auto"/>
          <w:spacing w:val="-4"/>
          <w:sz w:val="28"/>
          <w:szCs w:val="28"/>
          <w:lang w:val="en-US" w:eastAsia="zh-CN"/>
        </w:rPr>
        <w:t>建设</w:t>
      </w:r>
      <w:r>
        <w:rPr>
          <w:rStyle w:val="16"/>
          <w:rFonts w:hint="eastAsia" w:ascii="仿宋_GB2312" w:hAnsi="楷体" w:eastAsia="仿宋_GB2312"/>
          <w:b w:val="0"/>
          <w:color w:val="auto"/>
          <w:spacing w:val="-4"/>
          <w:sz w:val="28"/>
          <w:szCs w:val="28"/>
        </w:rPr>
        <w:t>。特克斯县乔拉克铁热克镇移动售卖棚建设</w:t>
      </w:r>
      <w:r>
        <w:rPr>
          <w:rStyle w:val="16"/>
          <w:rFonts w:hint="eastAsia" w:ascii="仿宋_GB2312" w:hAnsi="楷体" w:eastAsia="仿宋_GB2312"/>
          <w:b w:val="0"/>
          <w:color w:val="auto"/>
          <w:spacing w:val="-4"/>
          <w:sz w:val="28"/>
          <w:szCs w:val="28"/>
          <w:lang w:val="en-US" w:eastAsia="zh-CN"/>
        </w:rPr>
        <w:t>项目安排149.03</w:t>
      </w:r>
      <w:r>
        <w:rPr>
          <w:rStyle w:val="16"/>
          <w:rFonts w:hint="eastAsia" w:ascii="仿宋_GB2312" w:hAnsi="楷体" w:eastAsia="仿宋_GB2312"/>
          <w:b w:val="0"/>
          <w:color w:val="auto"/>
          <w:spacing w:val="-4"/>
          <w:sz w:val="28"/>
          <w:szCs w:val="28"/>
        </w:rPr>
        <w:t>万元，主要用于完成移动售卖棚建设。特克斯县乔拉克铁热克镇塔斯巴斯陶村活畜交易市场建设项目安排</w:t>
      </w:r>
      <w:r>
        <w:rPr>
          <w:rStyle w:val="16"/>
          <w:rFonts w:hint="eastAsia" w:ascii="仿宋_GB2312" w:hAnsi="楷体" w:eastAsia="仿宋_GB2312"/>
          <w:b w:val="0"/>
          <w:color w:val="auto"/>
          <w:spacing w:val="-4"/>
          <w:sz w:val="28"/>
          <w:szCs w:val="28"/>
          <w:lang w:val="en-US" w:eastAsia="zh-CN"/>
        </w:rPr>
        <w:t>70.21</w:t>
      </w:r>
      <w:r>
        <w:rPr>
          <w:rStyle w:val="16"/>
          <w:rFonts w:hint="eastAsia" w:ascii="仿宋_GB2312" w:hAnsi="楷体" w:eastAsia="仿宋_GB2312"/>
          <w:b w:val="0"/>
          <w:color w:val="auto"/>
          <w:spacing w:val="-4"/>
          <w:sz w:val="28"/>
          <w:szCs w:val="28"/>
        </w:rPr>
        <w:t>万元，主要用于完成活畜交易市场建设。特克斯乔拉克铁热克镇莫因卓勒村改善人居环境基础设施建设项目安</w:t>
      </w:r>
      <w:r>
        <w:rPr>
          <w:rStyle w:val="16"/>
          <w:rFonts w:hint="eastAsia" w:ascii="仿宋_GB2312" w:hAnsi="楷体" w:eastAsia="仿宋_GB2312"/>
          <w:b w:val="0"/>
          <w:color w:val="auto"/>
          <w:spacing w:val="-4"/>
          <w:sz w:val="28"/>
          <w:szCs w:val="28"/>
          <w:lang w:val="en-US" w:eastAsia="zh-CN"/>
        </w:rPr>
        <w:t>排9.13</w:t>
      </w:r>
      <w:r>
        <w:rPr>
          <w:rStyle w:val="16"/>
          <w:rFonts w:hint="eastAsia" w:ascii="仿宋_GB2312" w:hAnsi="楷体" w:eastAsia="仿宋_GB2312"/>
          <w:b w:val="0"/>
          <w:color w:val="auto"/>
          <w:spacing w:val="-4"/>
          <w:sz w:val="28"/>
          <w:szCs w:val="28"/>
        </w:rPr>
        <w:t>万元，主要用于完成改善人居环境基础设施建设。</w:t>
      </w:r>
      <w:r>
        <w:rPr>
          <w:rStyle w:val="16"/>
          <w:rFonts w:hint="eastAsia" w:ascii="仿宋_GB2312" w:hAnsi="楷体" w:eastAsia="仿宋_GB2312"/>
          <w:b w:val="0"/>
          <w:color w:val="auto"/>
          <w:spacing w:val="-4"/>
          <w:sz w:val="28"/>
          <w:szCs w:val="28"/>
          <w:lang w:val="en-US" w:eastAsia="zh-CN"/>
        </w:rPr>
        <w:t>特</w:t>
      </w:r>
      <w:r>
        <w:rPr>
          <w:rStyle w:val="16"/>
          <w:rFonts w:hint="eastAsia" w:ascii="仿宋_GB2312" w:hAnsi="楷体" w:eastAsia="仿宋_GB2312"/>
          <w:b w:val="0"/>
          <w:color w:val="auto"/>
          <w:spacing w:val="-4"/>
          <w:sz w:val="28"/>
          <w:szCs w:val="28"/>
        </w:rPr>
        <w:t>克斯县乔拉克铁热克镇塔斯巴斯陶村活畜交易市场建设项目安排</w:t>
      </w:r>
      <w:r>
        <w:rPr>
          <w:rStyle w:val="16"/>
          <w:rFonts w:hint="eastAsia" w:ascii="仿宋_GB2312" w:hAnsi="楷体" w:eastAsia="仿宋_GB2312"/>
          <w:b w:val="0"/>
          <w:color w:val="auto"/>
          <w:spacing w:val="-4"/>
          <w:sz w:val="28"/>
          <w:szCs w:val="28"/>
          <w:lang w:val="en-US" w:eastAsia="zh-CN"/>
        </w:rPr>
        <w:t>44.86</w:t>
      </w:r>
      <w:r>
        <w:rPr>
          <w:rStyle w:val="16"/>
          <w:rFonts w:hint="eastAsia" w:ascii="仿宋_GB2312" w:hAnsi="楷体" w:eastAsia="仿宋_GB2312"/>
          <w:b w:val="0"/>
          <w:color w:val="auto"/>
          <w:spacing w:val="-4"/>
          <w:sz w:val="28"/>
          <w:szCs w:val="28"/>
        </w:rPr>
        <w:t>万元，主要用于完成活畜交易市场建设。特克斯县特克斯县乔拉克铁热克镇莫因卓勒村人居环境整治建设项目安排</w:t>
      </w:r>
      <w:r>
        <w:rPr>
          <w:rStyle w:val="16"/>
          <w:rFonts w:hint="eastAsia" w:ascii="仿宋_GB2312" w:hAnsi="楷体" w:eastAsia="仿宋_GB2312"/>
          <w:b w:val="0"/>
          <w:color w:val="auto"/>
          <w:spacing w:val="-4"/>
          <w:sz w:val="28"/>
          <w:szCs w:val="28"/>
          <w:lang w:val="en-US" w:eastAsia="zh-CN"/>
        </w:rPr>
        <w:t>101.85</w:t>
      </w:r>
      <w:r>
        <w:rPr>
          <w:rStyle w:val="16"/>
          <w:rFonts w:hint="eastAsia" w:ascii="仿宋_GB2312" w:hAnsi="楷体" w:eastAsia="仿宋_GB2312"/>
          <w:b w:val="0"/>
          <w:color w:val="auto"/>
          <w:spacing w:val="-4"/>
          <w:sz w:val="28"/>
          <w:szCs w:val="28"/>
        </w:rPr>
        <w:t>万元，主要用于完成人居环境整治建设项。特克斯县乔拉克铁热克镇阿特恰比斯村一事一议项目安排</w:t>
      </w:r>
      <w:r>
        <w:rPr>
          <w:rStyle w:val="16"/>
          <w:rFonts w:hint="eastAsia" w:ascii="仿宋_GB2312" w:hAnsi="楷体" w:eastAsia="仿宋_GB2312"/>
          <w:b w:val="0"/>
          <w:color w:val="auto"/>
          <w:spacing w:val="-4"/>
          <w:sz w:val="28"/>
          <w:szCs w:val="28"/>
          <w:lang w:val="en-US" w:eastAsia="zh-CN"/>
        </w:rPr>
        <w:t>15</w:t>
      </w:r>
      <w:r>
        <w:rPr>
          <w:rStyle w:val="16"/>
          <w:rFonts w:hint="eastAsia" w:ascii="仿宋_GB2312" w:hAnsi="楷体" w:eastAsia="仿宋_GB2312"/>
          <w:b w:val="0"/>
          <w:color w:val="auto"/>
          <w:spacing w:val="-4"/>
          <w:sz w:val="28"/>
          <w:szCs w:val="28"/>
        </w:rPr>
        <w:t>万元，主要用于完成阿特恰比斯村</w:t>
      </w:r>
      <w:r>
        <w:rPr>
          <w:rStyle w:val="16"/>
          <w:rFonts w:hint="eastAsia" w:ascii="仿宋_GB2312" w:hAnsi="楷体" w:eastAsia="仿宋_GB2312"/>
          <w:b w:val="0"/>
          <w:color w:val="auto"/>
          <w:spacing w:val="-4"/>
          <w:sz w:val="28"/>
          <w:szCs w:val="28"/>
          <w:lang w:val="en-US" w:eastAsia="zh-CN"/>
        </w:rPr>
        <w:t>建设</w:t>
      </w:r>
      <w:r>
        <w:rPr>
          <w:rStyle w:val="16"/>
          <w:rFonts w:hint="eastAsia" w:ascii="仿宋_GB2312" w:hAnsi="楷体" w:eastAsia="仿宋_GB2312"/>
          <w:b w:val="0"/>
          <w:color w:val="auto"/>
          <w:spacing w:val="-4"/>
          <w:sz w:val="28"/>
          <w:szCs w:val="28"/>
        </w:rPr>
        <w:t>。特克斯县乔拉克铁热克镇克孜勒阔拉村一事一议项目安排</w:t>
      </w:r>
      <w:r>
        <w:rPr>
          <w:rStyle w:val="16"/>
          <w:rFonts w:hint="eastAsia" w:ascii="仿宋_GB2312" w:hAnsi="楷体" w:eastAsia="仿宋_GB2312"/>
          <w:b w:val="0"/>
          <w:color w:val="auto"/>
          <w:spacing w:val="-4"/>
          <w:sz w:val="28"/>
          <w:szCs w:val="28"/>
          <w:lang w:val="en-US" w:eastAsia="zh-CN"/>
        </w:rPr>
        <w:t>15</w:t>
      </w:r>
      <w:r>
        <w:rPr>
          <w:rStyle w:val="16"/>
          <w:rFonts w:hint="eastAsia" w:ascii="仿宋_GB2312" w:hAnsi="楷体" w:eastAsia="仿宋_GB2312"/>
          <w:b w:val="0"/>
          <w:color w:val="auto"/>
          <w:spacing w:val="-4"/>
          <w:sz w:val="28"/>
          <w:szCs w:val="28"/>
        </w:rPr>
        <w:t>万元，主要用于完成克孜勒阔拉村</w:t>
      </w:r>
      <w:r>
        <w:rPr>
          <w:rStyle w:val="16"/>
          <w:rFonts w:hint="eastAsia" w:ascii="仿宋_GB2312" w:hAnsi="楷体" w:eastAsia="仿宋_GB2312"/>
          <w:b w:val="0"/>
          <w:color w:val="auto"/>
          <w:spacing w:val="-4"/>
          <w:sz w:val="28"/>
          <w:szCs w:val="28"/>
          <w:lang w:val="en-US" w:eastAsia="zh-CN"/>
        </w:rPr>
        <w:t>建设</w:t>
      </w:r>
      <w:r>
        <w:rPr>
          <w:rStyle w:val="16"/>
          <w:rFonts w:hint="eastAsia" w:ascii="仿宋_GB2312" w:hAnsi="楷体" w:eastAsia="仿宋_GB2312"/>
          <w:b w:val="0"/>
          <w:color w:val="auto"/>
          <w:spacing w:val="-4"/>
          <w:sz w:val="28"/>
          <w:szCs w:val="28"/>
        </w:rPr>
        <w:t>。特克斯县乔拉克铁热克镇克孜勒阔拉村美丽乡村建设项目安排</w:t>
      </w:r>
      <w:r>
        <w:rPr>
          <w:rStyle w:val="16"/>
          <w:rFonts w:hint="eastAsia" w:ascii="仿宋_GB2312" w:hAnsi="楷体" w:eastAsia="仿宋_GB2312"/>
          <w:b w:val="0"/>
          <w:color w:val="auto"/>
          <w:spacing w:val="-4"/>
          <w:sz w:val="28"/>
          <w:szCs w:val="28"/>
          <w:lang w:val="en-US" w:eastAsia="zh-CN"/>
        </w:rPr>
        <w:t>15</w:t>
      </w:r>
      <w:r>
        <w:rPr>
          <w:rStyle w:val="16"/>
          <w:rFonts w:hint="eastAsia" w:ascii="仿宋_GB2312" w:hAnsi="楷体" w:eastAsia="仿宋_GB2312"/>
          <w:b w:val="0"/>
          <w:color w:val="auto"/>
          <w:spacing w:val="-4"/>
          <w:sz w:val="28"/>
          <w:szCs w:val="28"/>
        </w:rPr>
        <w:t>万元，主要用于完成乡村建设。2020年中央农村综合改革项目（莫因卓勒村，阿特恰比斯村，克孜勒阔拉村</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rPr>
        <w:t>项目安排</w:t>
      </w:r>
      <w:r>
        <w:rPr>
          <w:rStyle w:val="16"/>
          <w:rFonts w:hint="eastAsia" w:ascii="仿宋_GB2312" w:hAnsi="楷体" w:eastAsia="仿宋_GB2312"/>
          <w:b w:val="0"/>
          <w:color w:val="auto"/>
          <w:spacing w:val="-4"/>
          <w:sz w:val="28"/>
          <w:szCs w:val="28"/>
          <w:lang w:val="en-US" w:eastAsia="zh-CN"/>
        </w:rPr>
        <w:t>0.01</w:t>
      </w:r>
      <w:r>
        <w:rPr>
          <w:rStyle w:val="16"/>
          <w:rFonts w:hint="eastAsia" w:ascii="仿宋_GB2312" w:hAnsi="楷体" w:eastAsia="仿宋_GB2312"/>
          <w:b w:val="0"/>
          <w:color w:val="auto"/>
          <w:spacing w:val="-4"/>
          <w:sz w:val="28"/>
          <w:szCs w:val="28"/>
        </w:rPr>
        <w:t>万元，主要用于完成农村综合改革。乔拉克铁热克镇莫因卓勒村体育扶贫项目安排</w:t>
      </w:r>
      <w:r>
        <w:rPr>
          <w:rStyle w:val="16"/>
          <w:rFonts w:hint="eastAsia" w:ascii="仿宋_GB2312" w:hAnsi="楷体" w:eastAsia="仿宋_GB2312"/>
          <w:b w:val="0"/>
          <w:color w:val="auto"/>
          <w:spacing w:val="-4"/>
          <w:sz w:val="28"/>
          <w:szCs w:val="28"/>
          <w:lang w:val="en-US" w:eastAsia="zh-CN"/>
        </w:rPr>
        <w:t>7.70</w:t>
      </w:r>
      <w:r>
        <w:rPr>
          <w:rStyle w:val="16"/>
          <w:rFonts w:hint="eastAsia" w:ascii="仿宋_GB2312" w:hAnsi="楷体" w:eastAsia="仿宋_GB2312"/>
          <w:b w:val="0"/>
          <w:color w:val="auto"/>
          <w:spacing w:val="-4"/>
          <w:sz w:val="28"/>
          <w:szCs w:val="28"/>
        </w:rPr>
        <w:t>万元，主要用于完成扶贫</w:t>
      </w:r>
      <w:r>
        <w:rPr>
          <w:rStyle w:val="16"/>
          <w:rFonts w:hint="eastAsia" w:ascii="仿宋_GB2312" w:hAnsi="楷体" w:eastAsia="仿宋_GB2312"/>
          <w:b w:val="0"/>
          <w:color w:val="auto"/>
          <w:spacing w:val="-4"/>
          <w:sz w:val="28"/>
          <w:szCs w:val="28"/>
          <w:lang w:eastAsia="zh-CN"/>
        </w:rPr>
        <w:t>。</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color w:val="auto"/>
          <w:spacing w:val="-4"/>
          <w:sz w:val="28"/>
          <w:szCs w:val="28"/>
          <w:highlight w:val="none"/>
          <w:lang w:val="en-US" w:eastAsia="zh-CN"/>
        </w:rPr>
        <w:t>149.03</w:t>
      </w:r>
      <w:r>
        <w:rPr>
          <w:rStyle w:val="16"/>
          <w:rFonts w:hint="eastAsia" w:ascii="仿宋_GB2312" w:hAnsi="楷体" w:eastAsia="仿宋_GB2312"/>
          <w:b w:val="0"/>
          <w:color w:val="auto"/>
          <w:spacing w:val="-4"/>
          <w:sz w:val="28"/>
          <w:szCs w:val="28"/>
          <w:highlight w:val="none"/>
        </w:rPr>
        <w:t>万</w:t>
      </w:r>
      <w:r>
        <w:rPr>
          <w:rStyle w:val="16"/>
          <w:rFonts w:hint="eastAsia" w:ascii="仿宋_GB2312" w:hAnsi="楷体" w:eastAsia="仿宋_GB2312"/>
          <w:b w:val="0"/>
          <w:spacing w:val="-4"/>
          <w:sz w:val="28"/>
          <w:szCs w:val="28"/>
          <w:highlight w:val="none"/>
        </w:rPr>
        <w:t>元，重点支出保障率</w:t>
      </w:r>
      <w:r>
        <w:rPr>
          <w:rStyle w:val="16"/>
          <w:rFonts w:hint="eastAsia" w:ascii="仿宋_GB2312" w:hAnsi="楷体" w:eastAsia="仿宋_GB2312"/>
          <w:b w:val="0"/>
          <w:spacing w:val="-4"/>
          <w:sz w:val="28"/>
          <w:szCs w:val="28"/>
          <w:highlight w:val="none"/>
          <w:lang w:val="en-US" w:eastAsia="zh-CN"/>
        </w:rPr>
        <w:t>30.61</w:t>
      </w:r>
      <w:r>
        <w:rPr>
          <w:rStyle w:val="16"/>
          <w:rFonts w:hint="eastAsia" w:ascii="仿宋_GB2312" w:hAnsi="楷体" w:eastAsia="仿宋_GB2312"/>
          <w:b w:val="0"/>
          <w:spacing w:val="-4"/>
          <w:sz w:val="28"/>
          <w:szCs w:val="28"/>
          <w:highlight w:val="none"/>
        </w:rPr>
        <w:t>%。其中重点保障项目是</w:t>
      </w:r>
      <w:r>
        <w:rPr>
          <w:rStyle w:val="16"/>
          <w:rFonts w:hint="eastAsia" w:ascii="仿宋_GB2312" w:hAnsi="楷体" w:eastAsia="仿宋_GB2312"/>
          <w:b w:val="0"/>
          <w:spacing w:val="-4"/>
          <w:sz w:val="28"/>
          <w:szCs w:val="28"/>
          <w:highlight w:val="none"/>
          <w:lang w:val="en-US" w:eastAsia="zh-CN"/>
        </w:rPr>
        <w:t>完成</w:t>
      </w:r>
      <w:r>
        <w:rPr>
          <w:rStyle w:val="16"/>
          <w:rFonts w:hint="eastAsia" w:ascii="仿宋_GB2312" w:hAnsi="楷体" w:eastAsia="仿宋_GB2312"/>
          <w:b w:val="0"/>
          <w:color w:val="auto"/>
          <w:spacing w:val="-4"/>
          <w:sz w:val="28"/>
          <w:szCs w:val="28"/>
          <w:highlight w:val="none"/>
        </w:rPr>
        <w:t>乔拉克铁热克镇移动售卖棚建设</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lang w:val="en-US" w:eastAsia="zh-CN"/>
        </w:rPr>
        <w:t>发展经济提升群众收入</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color w:val="auto"/>
          <w:spacing w:val="-4"/>
          <w:sz w:val="32"/>
          <w:szCs w:val="32"/>
        </w:rPr>
      </w:pPr>
      <w:r>
        <w:rPr>
          <w:rStyle w:val="16"/>
          <w:rFonts w:hint="eastAsia" w:ascii="仿宋_GB2312" w:hAnsi="楷体" w:eastAsia="仿宋_GB2312"/>
          <w:b w:val="0"/>
          <w:spacing w:val="-4"/>
          <w:sz w:val="28"/>
          <w:szCs w:val="28"/>
        </w:rPr>
        <w:t>（4）</w:t>
      </w:r>
      <w:r>
        <w:rPr>
          <w:rStyle w:val="16"/>
          <w:rFonts w:hint="eastAsia" w:ascii="仿宋_GB2312" w:hAnsi="楷体" w:eastAsia="仿宋_GB2312"/>
          <w:b w:val="0"/>
          <w:bCs w:val="0"/>
          <w:color w:val="auto"/>
          <w:spacing w:val="-4"/>
          <w:sz w:val="28"/>
          <w:szCs w:val="28"/>
        </w:rPr>
        <w:t>本年度我单位无政府采购预算</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Theme="minorEastAsia" w:hAnsiTheme="minorEastAsia"/>
          <w:color w:val="FF000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Style w:val="16"/>
          <w:rFonts w:hint="eastAsia" w:ascii="仿宋_GB2312" w:eastAsia="仿宋_GB2312"/>
          <w:b w:val="0"/>
          <w:bCs w:val="0"/>
          <w:color w:val="auto"/>
          <w:sz w:val="28"/>
          <w:szCs w:val="36"/>
          <w:highlight w:val="none"/>
        </w:rPr>
      </w:pPr>
      <w:r>
        <w:rPr>
          <w:rStyle w:val="16"/>
          <w:rFonts w:hint="eastAsia" w:ascii="仿宋_GB2312" w:eastAsia="仿宋_GB2312"/>
          <w:b w:val="0"/>
          <w:bCs w:val="0"/>
          <w:color w:val="auto"/>
          <w:sz w:val="28"/>
          <w:szCs w:val="36"/>
          <w:highlight w:val="none"/>
        </w:rPr>
        <w:t>本次单位整体支出绩效自评采用</w:t>
      </w:r>
      <w:r>
        <w:rPr>
          <w:rFonts w:hint="eastAsia" w:ascii="仿宋_GB2312" w:eastAsia="仿宋_GB2312"/>
          <w:color w:val="auto"/>
          <w:sz w:val="28"/>
          <w:szCs w:val="36"/>
          <w:highlight w:val="none"/>
        </w:rPr>
        <w:t>综合指数评价法</w:t>
      </w:r>
      <w:r>
        <w:rPr>
          <w:rStyle w:val="16"/>
          <w:rFonts w:hint="eastAsia" w:ascii="仿宋_GB2312" w:eastAsia="仿宋_GB2312"/>
          <w:b w:val="0"/>
          <w:bCs w:val="0"/>
          <w:color w:val="auto"/>
          <w:sz w:val="28"/>
          <w:szCs w:val="36"/>
          <w:highlight w:val="none"/>
        </w:rPr>
        <w:t>方法，原因是：</w:t>
      </w:r>
    </w:p>
    <w:p>
      <w:pPr>
        <w:spacing w:line="360" w:lineRule="auto"/>
        <w:ind w:firstLine="560" w:firstLineChars="200"/>
        <w:rPr>
          <w:rFonts w:hint="eastAsia" w:ascii="仿宋_GB2312" w:eastAsia="仿宋_GB2312"/>
          <w:sz w:val="28"/>
          <w:szCs w:val="36"/>
          <w:highlight w:val="none"/>
        </w:rPr>
      </w:pPr>
      <w:r>
        <w:rPr>
          <w:rFonts w:hint="eastAsia" w:ascii="仿宋_GB2312" w:eastAsia="仿宋_GB2312"/>
          <w:color w:val="auto"/>
          <w:sz w:val="28"/>
          <w:szCs w:val="36"/>
          <w:highlight w:val="none"/>
        </w:rPr>
        <w:t>综合指数评价</w:t>
      </w:r>
      <w:r>
        <w:rPr>
          <w:rFonts w:hint="eastAsia" w:ascii="仿宋_GB2312" w:eastAsia="仿宋_GB2312"/>
          <w:color w:val="auto"/>
          <w:sz w:val="28"/>
          <w:szCs w:val="36"/>
          <w:highlight w:val="none"/>
          <w:lang w:val="en-US" w:eastAsia="zh-CN"/>
        </w:rPr>
        <w:t>法是我国目前绩效评价使用最多的方法，我国政府部门和地方政府大多采用这种方法，</w:t>
      </w:r>
      <w:r>
        <w:rPr>
          <w:rStyle w:val="16"/>
          <w:rFonts w:hint="eastAsia" w:ascii="仿宋_GB2312" w:eastAsia="仿宋_GB2312"/>
          <w:b w:val="0"/>
          <w:bCs w:val="0"/>
          <w:sz w:val="28"/>
          <w:szCs w:val="36"/>
          <w:highlight w:val="none"/>
          <w:lang w:val="en-US" w:eastAsia="zh-CN"/>
        </w:rPr>
        <w:t>可以</w:t>
      </w:r>
      <w:r>
        <w:rPr>
          <w:rStyle w:val="16"/>
          <w:rFonts w:hint="eastAsia" w:ascii="仿宋_GB2312" w:eastAsia="仿宋_GB2312"/>
          <w:b w:val="0"/>
          <w:bCs w:val="0"/>
          <w:sz w:val="28"/>
          <w:szCs w:val="36"/>
          <w:highlight w:val="none"/>
          <w:lang w:eastAsia="zh-CN"/>
        </w:rPr>
        <w:t>把各项绩效指标的实际水平，对照评价标准值，分别计算各项指标评价得分，再按照设定的各项指标权数计算出综合评价得分，</w:t>
      </w:r>
      <w:r>
        <w:rPr>
          <w:rStyle w:val="16"/>
          <w:rFonts w:hint="eastAsia" w:ascii="仿宋_GB2312" w:eastAsia="仿宋_GB2312"/>
          <w:b w:val="0"/>
          <w:bCs w:val="0"/>
          <w:sz w:val="28"/>
          <w:szCs w:val="36"/>
          <w:highlight w:val="none"/>
          <w:lang w:val="en-US" w:eastAsia="zh-CN"/>
        </w:rPr>
        <w:t>准确度较高，较全面，便于将各项效益指标综合起来，能够更全面的反映总体情况</w:t>
      </w:r>
      <w:r>
        <w:rPr>
          <w:rStyle w:val="16"/>
          <w:rFonts w:hint="eastAsia" w:ascii="仿宋_GB2312" w:eastAsia="仿宋_GB2312"/>
          <w:b w:val="0"/>
          <w:bCs w:val="0"/>
          <w:sz w:val="28"/>
          <w:szCs w:val="36"/>
          <w:highlight w:val="none"/>
          <w:lang w:eastAsia="zh-CN"/>
        </w:rPr>
        <w:t xml:space="preserve">。 </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特克斯县乔拉克铁热克镇</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基本支出4256.82万元，其中：工资福利支出、商品和服务支出、对个人和家庭的补助支出。</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项目支出468.85万元：2020年均衡性转移支付（自治区人居环境整治）：农村改厕项目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乔镇农村安全饮水工程（阿特恰比斯村，塔斯巴斯陶村）项目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特克斯县乔拉克铁热克镇移动售卖棚建设项目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特克斯县乔拉克铁热克镇塔斯巴斯陶村活畜交易市场建设项目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特克斯乔拉克铁热克镇莫因卓勒村改善人居环境基础设施建设项目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特克斯县乔拉克铁热克镇塔斯巴斯陶村活畜交易市场建设项目</w:t>
      </w:r>
      <w:r>
        <w:rPr>
          <w:rStyle w:val="16"/>
          <w:rFonts w:hint="eastAsia" w:ascii="仿宋_GB2312" w:hAnsi="楷体" w:eastAsia="仿宋_GB2312"/>
          <w:b w:val="0"/>
          <w:spacing w:val="-4"/>
          <w:sz w:val="28"/>
          <w:szCs w:val="28"/>
          <w:lang w:eastAsia="zh-CN"/>
        </w:rPr>
        <w:t>，特克斯县乔拉克铁热克镇莫因卓勒村人居环境整治建设项目，</w:t>
      </w:r>
      <w:r>
        <w:rPr>
          <w:rStyle w:val="16"/>
          <w:rFonts w:hint="eastAsia" w:ascii="仿宋_GB2312" w:hAnsi="楷体" w:eastAsia="仿宋_GB2312"/>
          <w:b w:val="0"/>
          <w:spacing w:val="-4"/>
          <w:sz w:val="28"/>
          <w:szCs w:val="28"/>
        </w:rPr>
        <w:t>特克斯县乔拉克铁热克镇阿特恰比斯村一事一议项目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特克斯县乔拉克铁热克镇克孜勒阔拉村一事一议项目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特克斯县乔拉克铁热克镇克孜勒阔拉村美丽乡村建设项目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2020年中央农村综合改革项目（莫因卓勒村，阿特恰比斯村，克孜勒阔拉村</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乔拉克铁热克镇莫因卓勒村体育扶贫项目</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财政局</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特克斯县公共信息网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val="en-US" w:eastAsia="zh-CN"/>
        </w:rPr>
        <w:t>特克斯县乔拉克铁热克镇收支制度相关规定</w:t>
      </w:r>
      <w:r>
        <w:rPr>
          <w:rFonts w:hint="eastAsia" w:ascii="仿宋_GB2312" w:eastAsia="仿宋_GB2312"/>
          <w:sz w:val="28"/>
          <w:szCs w:val="36"/>
        </w:rPr>
        <w:t>和《</w:t>
      </w:r>
      <w:r>
        <w:rPr>
          <w:rFonts w:hint="eastAsia" w:ascii="仿宋_GB2312" w:eastAsia="仿宋_GB2312"/>
          <w:sz w:val="28"/>
          <w:szCs w:val="36"/>
          <w:lang w:val="en-US" w:eastAsia="zh-CN"/>
        </w:rPr>
        <w:t>预算法</w:t>
      </w:r>
      <w:r>
        <w:rPr>
          <w:rFonts w:hint="eastAsia" w:ascii="仿宋_GB2312" w:eastAsia="仿宋_GB2312"/>
          <w:sz w:val="28"/>
          <w:szCs w:val="36"/>
        </w:rPr>
        <w:t>》规定流程，资金支出按照我内控体系中设定的流程申报审批进行；项目支出属于政府采购的，按照局新疆维吾尔自治区财政厅《新疆维吾尔自治区2021-2022年度政府采购集中目录及标准》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2021年基本支出预算安排4256.8</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万元，实际到位4256.8</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万元,实际支出4256.8</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90.08</w:t>
      </w:r>
      <w:r>
        <w:rPr>
          <w:rStyle w:val="16"/>
          <w:rFonts w:hint="eastAsia" w:ascii="仿宋_GB2312" w:hAnsi="楷体" w:eastAsia="仿宋_GB2312"/>
          <w:b w:val="0"/>
          <w:spacing w:val="-4"/>
          <w:sz w:val="28"/>
          <w:szCs w:val="28"/>
        </w:rPr>
        <w:t>％，其中：工资福利支出2734.2</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万元、商品和服务支出646.05万元、对个人和家庭的补助876.54万元、主要用于</w:t>
      </w:r>
      <w:r>
        <w:rPr>
          <w:rStyle w:val="16"/>
          <w:rFonts w:hint="eastAsia" w:ascii="仿宋_GB2312" w:hAnsi="楷体" w:eastAsia="仿宋_GB2312"/>
          <w:b w:val="0"/>
          <w:spacing w:val="-4"/>
          <w:sz w:val="28"/>
          <w:szCs w:val="28"/>
          <w:lang w:val="en-US" w:eastAsia="zh-CN"/>
        </w:rPr>
        <w:t>访惠聚人员补助、临时救助、JW人员生活补助、****双联户人员补助、疫情个体工商户补助等</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2021年基本支出比上年4185.96万元,</w:t>
      </w:r>
      <w:r>
        <w:rPr>
          <w:rStyle w:val="16"/>
          <w:rFonts w:hint="eastAsia" w:ascii="仿宋_GB2312" w:hAnsi="楷体" w:eastAsia="仿宋_GB2312"/>
          <w:b w:val="0"/>
          <w:spacing w:val="-4"/>
          <w:sz w:val="28"/>
          <w:szCs w:val="28"/>
          <w:lang w:val="en-US" w:eastAsia="zh-CN"/>
        </w:rPr>
        <w:t>增加70.86</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1.69</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lang w:eastAsia="zh-CN"/>
        </w:rPr>
        <w:t>人员工资正常升级、社保基数增加</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2.33</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2.33</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年一般公共预算“三公”经费比上年减少</w:t>
      </w:r>
      <w:r>
        <w:rPr>
          <w:rStyle w:val="16"/>
          <w:rFonts w:hint="eastAsia" w:ascii="仿宋_GB2312" w:hAnsi="楷体" w:eastAsia="仿宋_GB2312"/>
          <w:b w:val="0"/>
          <w:spacing w:val="-4"/>
          <w:sz w:val="28"/>
          <w:szCs w:val="28"/>
          <w:lang w:val="en-US" w:eastAsia="zh-CN"/>
        </w:rPr>
        <w:t>2.44</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val="en-US" w:eastAsia="zh-CN"/>
        </w:rPr>
        <w:t>未安排预算</w:t>
      </w:r>
      <w:r>
        <w:rPr>
          <w:rStyle w:val="16"/>
          <w:rFonts w:hint="eastAsia" w:ascii="仿宋_GB2312" w:hAnsi="楷体" w:eastAsia="仿宋_GB2312"/>
          <w:b w:val="0"/>
          <w:spacing w:val="-4"/>
          <w:sz w:val="28"/>
          <w:szCs w:val="28"/>
        </w:rPr>
        <w:t>；公务用车购置费为0</w:t>
      </w:r>
      <w:r>
        <w:rPr>
          <w:rStyle w:val="16"/>
          <w:rFonts w:hint="eastAsia" w:ascii="仿宋_GB2312" w:hAnsi="楷体" w:eastAsia="仿宋_GB2312"/>
          <w:b w:val="0"/>
          <w:spacing w:val="-4"/>
          <w:sz w:val="28"/>
          <w:szCs w:val="28"/>
          <w:lang w:val="en-US" w:eastAsia="zh-CN"/>
        </w:rPr>
        <w:t>万元</w:t>
      </w:r>
      <w:r>
        <w:rPr>
          <w:rStyle w:val="16"/>
          <w:rFonts w:hint="eastAsia" w:ascii="仿宋_GB2312" w:hAnsi="楷体" w:eastAsia="仿宋_GB2312"/>
          <w:b w:val="0"/>
          <w:spacing w:val="-4"/>
          <w:sz w:val="28"/>
          <w:szCs w:val="28"/>
        </w:rPr>
        <w:t>，未安排预算；公务用车运行费减少</w:t>
      </w:r>
      <w:r>
        <w:rPr>
          <w:rStyle w:val="16"/>
          <w:rFonts w:hint="eastAsia" w:ascii="仿宋_GB2312" w:hAnsi="楷体" w:eastAsia="仿宋_GB2312"/>
          <w:b w:val="0"/>
          <w:spacing w:val="-4"/>
          <w:sz w:val="28"/>
          <w:szCs w:val="28"/>
          <w:lang w:val="en-US" w:eastAsia="zh-CN"/>
        </w:rPr>
        <w:t>2.44</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val="en-US" w:eastAsia="zh-CN"/>
        </w:rPr>
        <w:t>经费压缩</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val="en-US" w:eastAsia="zh-CN"/>
        </w:rPr>
        <w:t>未安排预算</w:t>
      </w:r>
      <w:r>
        <w:rPr>
          <w:rStyle w:val="16"/>
          <w:rFonts w:hint="eastAsia" w:ascii="仿宋_GB2312" w:hAnsi="楷体" w:eastAsia="仿宋_GB2312"/>
          <w:b w:val="0"/>
          <w:spacing w:val="-4"/>
          <w:sz w:val="28"/>
          <w:szCs w:val="28"/>
        </w:rPr>
        <w:t>。</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highlight w:val="none"/>
        </w:rPr>
      </w:pP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年预算安排专项资金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r>
        <w:rPr>
          <w:rFonts w:hint="eastAsia"/>
          <w:highlight w:val="none"/>
        </w:rPr>
        <w:t xml:space="preserve"> </w:t>
      </w:r>
      <w:r>
        <w:rPr>
          <w:rStyle w:val="16"/>
          <w:rFonts w:hint="eastAsia" w:ascii="仿宋_GB2312" w:hAnsi="楷体" w:eastAsia="仿宋_GB2312"/>
          <w:b w:val="0"/>
          <w:spacing w:val="-4"/>
          <w:sz w:val="28"/>
          <w:szCs w:val="28"/>
          <w:highlight w:val="none"/>
        </w:rPr>
        <w:t>到位率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％,其中:中央转移支付项目资金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万元，自治区资金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万元，本级安排</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%，其中2021年专项项目支出比上年972.75万元减少972.75万元，下降</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%。支出减少的主要原因是</w:t>
      </w:r>
      <w:r>
        <w:rPr>
          <w:rStyle w:val="16"/>
          <w:rFonts w:hint="eastAsia" w:ascii="仿宋_GB2312" w:hAnsi="楷体" w:eastAsia="仿宋_GB2312"/>
          <w:b w:val="0"/>
          <w:spacing w:val="-4"/>
          <w:sz w:val="28"/>
          <w:szCs w:val="28"/>
          <w:highlight w:val="none"/>
          <w:lang w:eastAsia="zh-CN"/>
        </w:rPr>
        <w:t>项目安排减少</w:t>
      </w:r>
      <w:r>
        <w:rPr>
          <w:rStyle w:val="16"/>
          <w:rFonts w:hint="eastAsia" w:ascii="仿宋_GB2312" w:hAnsi="楷体" w:eastAsia="仿宋_GB2312"/>
          <w:b w:val="0"/>
          <w:spacing w:val="-4"/>
          <w:sz w:val="28"/>
          <w:szCs w:val="28"/>
          <w:highlight w:val="none"/>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color w:val="auto"/>
          <w:spacing w:val="-4"/>
          <w:sz w:val="28"/>
          <w:szCs w:val="28"/>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highlight w:val="none"/>
          <w:lang w:val="en-US" w:eastAsia="zh-CN"/>
        </w:rPr>
        <w:t>乔拉克铁热克</w:t>
      </w:r>
      <w:r>
        <w:rPr>
          <w:rStyle w:val="16"/>
          <w:rFonts w:hint="eastAsia" w:ascii="仿宋_GB2312" w:hAnsi="楷体" w:eastAsia="仿宋_GB2312"/>
          <w:b w:val="0"/>
          <w:spacing w:val="-4"/>
          <w:sz w:val="28"/>
          <w:szCs w:val="28"/>
          <w:highlight w:val="none"/>
          <w:lang w:eastAsia="zh-CN"/>
        </w:rPr>
        <w:t>镇工程建设管理制度</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highlight w:val="none"/>
          <w:lang w:val="en-US" w:eastAsia="zh-CN"/>
        </w:rPr>
        <w:t>乔拉克铁热克</w:t>
      </w:r>
      <w:r>
        <w:rPr>
          <w:rStyle w:val="16"/>
          <w:rFonts w:hint="eastAsia" w:ascii="仿宋_GB2312" w:hAnsi="楷体" w:eastAsia="仿宋_GB2312"/>
          <w:b w:val="0"/>
          <w:spacing w:val="-4"/>
          <w:sz w:val="28"/>
          <w:szCs w:val="28"/>
          <w:highlight w:val="none"/>
          <w:lang w:eastAsia="zh-CN"/>
        </w:rPr>
        <w:t>镇收入支出财务制度</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Style w:val="16"/>
          <w:rFonts w:hint="eastAsia" w:ascii="仿宋_GB2312" w:hAnsi="楷体" w:eastAsia="仿宋_GB2312"/>
          <w:b w:val="0"/>
          <w:spacing w:val="-4"/>
          <w:sz w:val="28"/>
          <w:szCs w:val="28"/>
          <w:lang w:val="en-US" w:eastAsia="zh-CN"/>
        </w:rPr>
        <w:t>乔拉克铁热克</w:t>
      </w:r>
      <w:r>
        <w:rPr>
          <w:rStyle w:val="16"/>
          <w:rFonts w:hint="eastAsia" w:ascii="仿宋_GB2312" w:hAnsi="楷体" w:eastAsia="仿宋_GB2312"/>
          <w:b w:val="0"/>
          <w:spacing w:val="-4"/>
          <w:sz w:val="28"/>
          <w:szCs w:val="28"/>
          <w:lang w:eastAsia="zh-CN"/>
        </w:rPr>
        <w:t>镇</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val="en-US" w:eastAsia="zh-CN"/>
        </w:rPr>
        <w:t>乔拉克铁热克</w:t>
      </w:r>
      <w:r>
        <w:rPr>
          <w:rStyle w:val="16"/>
          <w:rFonts w:hint="eastAsia" w:ascii="仿宋_GB2312" w:hAnsi="楷体" w:eastAsia="仿宋_GB2312"/>
          <w:b w:val="0"/>
          <w:spacing w:val="-4"/>
          <w:sz w:val="28"/>
          <w:szCs w:val="28"/>
          <w:lang w:eastAsia="zh-CN"/>
        </w:rPr>
        <w:t>镇</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eastAsia="zh-CN"/>
        </w:rPr>
        <w:t>有效实施</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Style w:val="16"/>
          <w:rFonts w:hint="eastAsia" w:ascii="仿宋_GB2312" w:hAnsi="楷体" w:eastAsia="仿宋_GB2312"/>
          <w:b w:val="0"/>
          <w:spacing w:val="-4"/>
          <w:sz w:val="28"/>
          <w:szCs w:val="28"/>
          <w:lang w:val="en-US" w:eastAsia="zh-CN"/>
        </w:rPr>
        <w:t>乔拉克铁热克</w:t>
      </w:r>
      <w:r>
        <w:rPr>
          <w:rStyle w:val="16"/>
          <w:rFonts w:hint="eastAsia" w:ascii="仿宋_GB2312" w:hAnsi="楷体" w:eastAsia="仿宋_GB2312"/>
          <w:b w:val="0"/>
          <w:spacing w:val="-4"/>
          <w:sz w:val="28"/>
          <w:szCs w:val="28"/>
          <w:lang w:eastAsia="zh-CN"/>
        </w:rPr>
        <w:t>镇</w:t>
      </w:r>
      <w:r>
        <w:rPr>
          <w:rStyle w:val="16"/>
          <w:rFonts w:hint="eastAsia" w:ascii="仿宋_GB2312" w:hAnsi="楷体" w:eastAsia="仿宋_GB2312"/>
          <w:b w:val="0"/>
          <w:spacing w:val="-4"/>
          <w:sz w:val="28"/>
          <w:szCs w:val="28"/>
        </w:rPr>
        <w:t>项目验收，确保项目</w:t>
      </w:r>
      <w:r>
        <w:rPr>
          <w:rStyle w:val="16"/>
          <w:rFonts w:hint="eastAsia" w:ascii="仿宋_GB2312" w:hAnsi="楷体" w:eastAsia="仿宋_GB2312"/>
          <w:b w:val="0"/>
          <w:spacing w:val="-4"/>
          <w:sz w:val="28"/>
          <w:szCs w:val="28"/>
          <w:lang w:eastAsia="zh-CN"/>
        </w:rPr>
        <w:t>顺利落实</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w:t>
      </w:r>
      <w:r>
        <w:rPr>
          <w:rStyle w:val="16"/>
          <w:rFonts w:hint="eastAsia" w:ascii="仿宋_GB2312" w:hAnsi="楷体" w:eastAsia="仿宋_GB2312"/>
          <w:b w:val="0"/>
          <w:spacing w:val="-4"/>
          <w:sz w:val="28"/>
          <w:szCs w:val="28"/>
          <w:lang w:eastAsia="zh-CN"/>
        </w:rPr>
        <w:t>新疆维吾尔自治区财政厅</w:t>
      </w:r>
      <w:r>
        <w:rPr>
          <w:rFonts w:hint="eastAsia" w:ascii="仿宋_GB2312" w:eastAsia="仿宋_GB2312"/>
          <w:sz w:val="28"/>
          <w:szCs w:val="36"/>
        </w:rPr>
        <w:t>《</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2021-2022年度政府采购集中采购目录及标准</w:t>
      </w:r>
      <w:r>
        <w:rPr>
          <w:rFonts w:hint="eastAsia" w:ascii="仿宋_GB2312" w:eastAsia="仿宋_GB2312"/>
          <w:sz w:val="28"/>
          <w:szCs w:val="36"/>
        </w:rPr>
        <w:t>》</w:t>
      </w:r>
      <w:r>
        <w:rPr>
          <w:rStyle w:val="16"/>
          <w:rFonts w:hint="eastAsia" w:ascii="仿宋_GB2312" w:hAnsi="楷体" w:eastAsia="仿宋_GB2312"/>
          <w:b w:val="0"/>
          <w:spacing w:val="-4"/>
          <w:sz w:val="28"/>
          <w:szCs w:val="28"/>
        </w:rPr>
        <w:t>组织人员制定采购计划，按照财政局采购部门批复，进行公开招标、邀请招标等方式进行。</w:t>
      </w:r>
    </w:p>
    <w:p>
      <w:pPr>
        <w:pStyle w:val="3"/>
        <w:numPr>
          <w:ilvl w:val="0"/>
          <w:numId w:val="1"/>
        </w:numPr>
        <w:spacing w:line="360" w:lineRule="auto"/>
        <w:rPr>
          <w:rFonts w:hint="eastAsia" w:ascii="仿宋" w:hAnsi="仿宋" w:eastAsia="仿宋"/>
          <w:sz w:val="36"/>
          <w:szCs w:val="36"/>
          <w:lang w:bidi="ar"/>
        </w:rPr>
      </w:pPr>
      <w:bookmarkStart w:id="19" w:name="_Toc70450306"/>
      <w:r>
        <w:rPr>
          <w:rFonts w:hint="eastAsia" w:ascii="仿宋" w:hAnsi="仿宋" w:eastAsia="仿宋"/>
          <w:sz w:val="36"/>
          <w:szCs w:val="36"/>
          <w:lang w:bidi="ar"/>
        </w:rPr>
        <w:t>部门单位专项组织实施情况</w:t>
      </w:r>
      <w:bookmarkEnd w:id="19"/>
    </w:p>
    <w:p>
      <w:pPr>
        <w:spacing w:line="360" w:lineRule="auto"/>
        <w:ind w:firstLine="492" w:firstLineChars="181"/>
        <w:rPr>
          <w:rStyle w:val="16"/>
          <w:rFonts w:hint="default" w:ascii="仿宋_GB2312" w:hAnsi="楷体" w:eastAsia="仿宋_GB2312" w:cs="Times New Roman"/>
          <w:b w:val="0"/>
          <w:spacing w:val="-4"/>
          <w:sz w:val="28"/>
          <w:szCs w:val="28"/>
          <w:lang w:val="en-US"/>
        </w:rPr>
      </w:pPr>
      <w:r>
        <w:rPr>
          <w:rStyle w:val="16"/>
          <w:rFonts w:hint="eastAsia" w:ascii="仿宋_GB2312" w:hAnsi="楷体" w:eastAsia="仿宋_GB2312" w:cs="Times New Roman"/>
          <w:b w:val="0"/>
          <w:spacing w:val="-4"/>
          <w:sz w:val="28"/>
          <w:szCs w:val="28"/>
          <w:lang w:val="en-US" w:eastAsia="zh-CN"/>
        </w:rPr>
        <w:t>本单位2021年度未安排项目支出预算。</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1131.3</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576.5</w:t>
      </w:r>
      <w:r>
        <w:rPr>
          <w:rStyle w:val="16"/>
          <w:rFonts w:hint="eastAsia" w:ascii="仿宋_GB2312" w:hAnsi="宋体" w:eastAsia="仿宋_GB2312"/>
          <w:b w:val="0"/>
          <w:bCs w:val="0"/>
          <w:spacing w:val="-4"/>
          <w:sz w:val="28"/>
          <w:szCs w:val="28"/>
        </w:rPr>
        <w:t>万元（其中货币资金</w:t>
      </w:r>
      <w:r>
        <w:rPr>
          <w:rStyle w:val="16"/>
          <w:rFonts w:hint="eastAsia" w:ascii="仿宋_GB2312" w:hAnsi="宋体" w:eastAsia="仿宋_GB2312"/>
          <w:b w:val="0"/>
          <w:bCs w:val="0"/>
          <w:spacing w:val="-4"/>
          <w:sz w:val="28"/>
          <w:szCs w:val="28"/>
          <w:lang w:val="en-US" w:eastAsia="zh-CN"/>
        </w:rPr>
        <w:t>82.38万元，财政应返还额度0.01万元，应收账款净额399.14万元，其他应收款净额94.97万元</w:t>
      </w:r>
      <w:r>
        <w:rPr>
          <w:rStyle w:val="16"/>
          <w:rFonts w:hint="eastAsia" w:ascii="仿宋_GB2312" w:hAnsi="宋体" w:eastAsia="仿宋_GB2312"/>
          <w:b w:val="0"/>
          <w:bCs w:val="0"/>
          <w:spacing w:val="-4"/>
          <w:sz w:val="28"/>
          <w:szCs w:val="28"/>
        </w:rPr>
        <w:t>），固定资产净值</w:t>
      </w:r>
      <w:r>
        <w:rPr>
          <w:rStyle w:val="16"/>
          <w:rFonts w:hint="eastAsia" w:ascii="仿宋_GB2312" w:hAnsi="宋体" w:eastAsia="仿宋_GB2312"/>
          <w:b w:val="0"/>
          <w:bCs w:val="0"/>
          <w:spacing w:val="-4"/>
          <w:sz w:val="28"/>
          <w:szCs w:val="28"/>
          <w:lang w:val="en-US" w:eastAsia="zh-CN"/>
        </w:rPr>
        <w:t>546.8</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306.76</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56.1</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71.28</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13.04</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119.61</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21.87</w:t>
      </w:r>
      <w:r>
        <w:rPr>
          <w:rStyle w:val="16"/>
          <w:rFonts w:hint="eastAsia" w:ascii="仿宋_GB2312" w:hAnsi="宋体" w:eastAsia="仿宋_GB2312"/>
          <w:b w:val="0"/>
          <w:bCs w:val="0"/>
          <w:spacing w:val="-4"/>
          <w:sz w:val="28"/>
          <w:szCs w:val="28"/>
        </w:rPr>
        <w:t>%；其他</w:t>
      </w:r>
      <w:r>
        <w:rPr>
          <w:rStyle w:val="16"/>
          <w:rFonts w:hint="eastAsia" w:ascii="仿宋_GB2312" w:hAnsi="宋体" w:eastAsia="仿宋_GB2312"/>
          <w:b w:val="0"/>
          <w:bCs w:val="0"/>
          <w:spacing w:val="-4"/>
          <w:sz w:val="28"/>
          <w:szCs w:val="28"/>
          <w:lang w:val="en-US" w:eastAsia="zh-CN"/>
        </w:rPr>
        <w:t>49.15万元，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8.99</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576.5</w:t>
      </w:r>
      <w:r>
        <w:rPr>
          <w:rStyle w:val="16"/>
          <w:rFonts w:hint="eastAsia" w:ascii="仿宋_GB2312" w:hAnsi="宋体" w:eastAsia="仿宋_GB2312"/>
          <w:b w:val="0"/>
          <w:bCs w:val="0"/>
          <w:spacing w:val="-4"/>
          <w:sz w:val="28"/>
          <w:szCs w:val="28"/>
        </w:rPr>
        <w:t>万元，比上年减少</w:t>
      </w:r>
      <w:r>
        <w:rPr>
          <w:rStyle w:val="16"/>
          <w:rFonts w:hint="eastAsia" w:ascii="仿宋_GB2312" w:hAnsi="宋体" w:eastAsia="仿宋_GB2312"/>
          <w:b w:val="0"/>
          <w:bCs w:val="0"/>
          <w:spacing w:val="-4"/>
          <w:sz w:val="28"/>
          <w:szCs w:val="28"/>
          <w:lang w:val="en-US" w:eastAsia="zh-CN"/>
        </w:rPr>
        <w:t>68.12</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长期借款清理，应收款减少</w:t>
      </w:r>
      <w:r>
        <w:rPr>
          <w:rStyle w:val="16"/>
          <w:rFonts w:hint="eastAsia" w:ascii="仿宋_GB2312" w:hAnsi="宋体" w:eastAsia="仿宋_GB2312"/>
          <w:b w:val="0"/>
          <w:bCs w:val="0"/>
          <w:spacing w:val="-4"/>
          <w:sz w:val="28"/>
          <w:szCs w:val="28"/>
        </w:rPr>
        <w:t xml:space="preserve"> 。</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1304.37</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10.27</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新购入固定资产</w:t>
      </w:r>
      <w:r>
        <w:rPr>
          <w:rStyle w:val="16"/>
          <w:rFonts w:hint="eastAsia" w:ascii="仿宋_GB2312" w:hAnsi="宋体" w:eastAsia="仿宋_GB2312"/>
          <w:b w:val="0"/>
          <w:bCs w:val="0"/>
          <w:spacing w:val="-4"/>
          <w:sz w:val="28"/>
          <w:szCs w:val="28"/>
        </w:rPr>
        <w:t xml:space="preserve"> 。</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1304.37</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年度我单位年初预算安排1949.88万元，年中调整</w:t>
      </w:r>
      <w:r>
        <w:rPr>
          <w:rStyle w:val="16"/>
          <w:rFonts w:hint="eastAsia" w:ascii="仿宋_GB2312" w:hAnsi="宋体" w:eastAsia="仿宋_GB2312"/>
          <w:b w:val="0"/>
          <w:bCs w:val="0"/>
          <w:spacing w:val="-4"/>
          <w:sz w:val="28"/>
          <w:szCs w:val="28"/>
          <w:lang w:val="en-US" w:eastAsia="zh-CN"/>
        </w:rPr>
        <w:t>2775.79</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4725.67</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val="en-US" w:eastAsia="zh-CN"/>
        </w:rPr>
        <w:t>特克斯县乔拉克铁热克镇</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val="en-US" w:eastAsia="zh-CN"/>
        </w:rPr>
        <w:t>上级部门</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color w:val="auto"/>
          <w:spacing w:val="-4"/>
          <w:sz w:val="28"/>
          <w:szCs w:val="28"/>
        </w:rPr>
        <w:t>迎难</w:t>
      </w:r>
      <w:r>
        <w:rPr>
          <w:rStyle w:val="16"/>
          <w:rFonts w:hint="eastAsia" w:ascii="仿宋_GB2312" w:hAnsi="宋体" w:eastAsia="仿宋_GB2312"/>
          <w:b w:val="0"/>
          <w:bCs w:val="0"/>
          <w:spacing w:val="-4"/>
          <w:sz w:val="28"/>
          <w:szCs w:val="28"/>
        </w:rPr>
        <w:t>而上、务实重干，积极推动各项</w:t>
      </w:r>
      <w:r>
        <w:rPr>
          <w:rStyle w:val="16"/>
          <w:rFonts w:hint="eastAsia" w:ascii="仿宋_GB2312" w:hAnsi="宋体" w:eastAsia="仿宋_GB2312"/>
          <w:b w:val="0"/>
          <w:bCs w:val="0"/>
          <w:spacing w:val="-4"/>
          <w:sz w:val="28"/>
          <w:szCs w:val="28"/>
          <w:lang w:val="en-US" w:eastAsia="zh-CN"/>
        </w:rPr>
        <w:t>财政</w:t>
      </w:r>
      <w:r>
        <w:rPr>
          <w:rStyle w:val="16"/>
          <w:rFonts w:hint="eastAsia" w:ascii="仿宋_GB2312" w:hAnsi="宋体" w:eastAsia="仿宋_GB2312"/>
          <w:b w:val="0"/>
          <w:bCs w:val="0"/>
          <w:spacing w:val="-4"/>
          <w:sz w:val="28"/>
          <w:szCs w:val="28"/>
        </w:rPr>
        <w:t>工作取得了新的进展，为促进经济持续健康发展与社会和谐稳定提供了有力的</w:t>
      </w:r>
      <w:r>
        <w:rPr>
          <w:rStyle w:val="16"/>
          <w:rFonts w:hint="eastAsia" w:ascii="仿宋_GB2312" w:hAnsi="宋体" w:eastAsia="仿宋_GB2312"/>
          <w:b w:val="0"/>
          <w:bCs w:val="0"/>
          <w:spacing w:val="-4"/>
          <w:sz w:val="28"/>
          <w:szCs w:val="28"/>
          <w:lang w:val="en-US" w:eastAsia="zh-CN"/>
        </w:rPr>
        <w:t>财政</w:t>
      </w:r>
      <w:r>
        <w:rPr>
          <w:rStyle w:val="16"/>
          <w:rFonts w:hint="eastAsia" w:ascii="仿宋_GB2312" w:hAnsi="宋体" w:eastAsia="仿宋_GB2312"/>
          <w:b w:val="0"/>
          <w:bCs w:val="0"/>
          <w:spacing w:val="-4"/>
          <w:sz w:val="28"/>
          <w:szCs w:val="28"/>
        </w:rPr>
        <w:t>支撑和保障。</w:t>
      </w:r>
    </w:p>
    <w:p>
      <w:pPr>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hint="eastAsia" w:ascii="仿宋_GB2312" w:hAnsi="宋体" w:eastAsia="仿宋_GB2312"/>
          <w:b w:val="0"/>
          <w:bCs w:val="0"/>
          <w:spacing w:val="-4"/>
          <w:sz w:val="28"/>
          <w:szCs w:val="28"/>
        </w:rPr>
        <w:t>1、圆满完成</w:t>
      </w:r>
      <w:r>
        <w:rPr>
          <w:rStyle w:val="16"/>
          <w:rFonts w:hint="eastAsia" w:ascii="仿宋_GB2312" w:hAnsi="宋体" w:eastAsia="仿宋_GB2312"/>
          <w:b w:val="0"/>
          <w:bCs w:val="0"/>
          <w:spacing w:val="-4"/>
          <w:sz w:val="28"/>
          <w:szCs w:val="28"/>
          <w:lang w:val="en-US" w:eastAsia="zh-CN"/>
        </w:rPr>
        <w:t>年初预算安排的各项</w:t>
      </w:r>
      <w:r>
        <w:rPr>
          <w:rStyle w:val="16"/>
          <w:rFonts w:hint="eastAsia" w:ascii="仿宋_GB2312" w:hAnsi="宋体" w:eastAsia="仿宋_GB2312"/>
          <w:b w:val="0"/>
          <w:bCs w:val="0"/>
          <w:spacing w:val="-4"/>
          <w:sz w:val="28"/>
          <w:szCs w:val="28"/>
        </w:rPr>
        <w:t>工作</w:t>
      </w:r>
      <w:r>
        <w:rPr>
          <w:rStyle w:val="16"/>
          <w:rFonts w:hint="eastAsia" w:ascii="仿宋_GB2312" w:hAnsi="宋体" w:eastAsia="仿宋_GB2312"/>
          <w:b w:val="0"/>
          <w:bCs w:val="0"/>
          <w:spacing w:val="-4"/>
          <w:sz w:val="28"/>
          <w:szCs w:val="28"/>
          <w:lang w:eastAsia="zh-CN"/>
        </w:rPr>
        <w:t>。</w:t>
      </w:r>
    </w:p>
    <w:p>
      <w:pPr>
        <w:tabs>
          <w:tab w:val="left" w:pos="312"/>
        </w:tabs>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2021年提前完成项目进度任务，提前完成各类财务工作，财务绩效考核提前完成</w:t>
      </w:r>
      <w:r>
        <w:rPr>
          <w:rStyle w:val="16"/>
          <w:rFonts w:hint="eastAsia" w:ascii="仿宋_GB2312" w:hAnsi="宋体" w:eastAsia="仿宋_GB2312"/>
          <w:b w:val="0"/>
          <w:bCs w:val="0"/>
          <w:spacing w:val="-4"/>
          <w:sz w:val="28"/>
          <w:szCs w:val="28"/>
          <w:lang w:eastAsia="zh-CN"/>
        </w:rPr>
        <w:t>。</w:t>
      </w:r>
    </w:p>
    <w:p>
      <w:pPr>
        <w:tabs>
          <w:tab w:val="left" w:pos="312"/>
        </w:tabs>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hint="eastAsia" w:ascii="仿宋_GB2312" w:hAnsi="宋体" w:eastAsia="仿宋_GB2312"/>
          <w:b w:val="0"/>
          <w:bCs w:val="0"/>
          <w:spacing w:val="-4"/>
          <w:sz w:val="28"/>
          <w:szCs w:val="28"/>
          <w:lang w:val="en-US" w:eastAsia="zh-CN"/>
        </w:rPr>
        <w:t>3、2021年财务实施、财务公开、财务绩效按时完成</w:t>
      </w:r>
      <w:r>
        <w:rPr>
          <w:rStyle w:val="16"/>
          <w:rFonts w:hint="eastAsia" w:ascii="仿宋_GB2312" w:hAnsi="宋体" w:eastAsia="仿宋_GB2312"/>
          <w:b w:val="0"/>
          <w:bCs w:val="0"/>
          <w:spacing w:val="-4"/>
          <w:sz w:val="28"/>
          <w:szCs w:val="28"/>
        </w:rPr>
        <w:t>成效显著</w:t>
      </w:r>
      <w:r>
        <w:rPr>
          <w:rStyle w:val="16"/>
          <w:rFonts w:hint="eastAsia" w:ascii="仿宋_GB2312" w:hAnsi="宋体" w:eastAsia="仿宋_GB2312"/>
          <w:b w:val="0"/>
          <w:bCs w:val="0"/>
          <w:spacing w:val="-4"/>
          <w:sz w:val="28"/>
          <w:szCs w:val="28"/>
          <w:lang w:eastAsia="zh-CN"/>
        </w:rPr>
        <w:t>。</w:t>
      </w:r>
    </w:p>
    <w:p>
      <w:pPr>
        <w:tabs>
          <w:tab w:val="left" w:pos="312"/>
        </w:tabs>
        <w:spacing w:line="360" w:lineRule="auto"/>
        <w:ind w:firstLine="544" w:firstLineChars="200"/>
        <w:rPr>
          <w:rStyle w:val="16"/>
          <w:rFonts w:hint="default"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4、人员保障支出、运转保障支出、项目支出全面达标，村容村貌改善，基础设施完善，居民生活环境及人均收入有效提高，来往游客及群众满意度高。</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年部门支出的有效性主要体现在我单位各项工作成效上，一是</w:t>
      </w:r>
      <w:r>
        <w:rPr>
          <w:rStyle w:val="16"/>
          <w:rFonts w:hint="eastAsia" w:ascii="仿宋_GB2312" w:hAnsi="宋体" w:eastAsia="仿宋_GB2312"/>
          <w:b w:val="0"/>
          <w:bCs w:val="0"/>
          <w:color w:val="auto"/>
          <w:spacing w:val="-4"/>
          <w:sz w:val="28"/>
          <w:szCs w:val="28"/>
          <w:lang w:val="en-US" w:eastAsia="zh-CN"/>
        </w:rPr>
        <w:t>预算执行</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val="en-US" w:eastAsia="zh-CN"/>
        </w:rPr>
        <w:t>财务业务</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val="en-US" w:eastAsia="zh-CN"/>
        </w:rPr>
        <w:t>民生保障</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val="en-US" w:eastAsia="zh-CN"/>
        </w:rPr>
        <w:t>群众知晓率</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val="en-US" w:eastAsia="zh-CN"/>
        </w:rPr>
        <w:t>项目支出</w:t>
      </w:r>
      <w:r>
        <w:rPr>
          <w:rStyle w:val="16"/>
          <w:rFonts w:hint="eastAsia" w:ascii="仿宋_GB2312" w:hAnsi="宋体" w:eastAsia="仿宋_GB2312"/>
          <w:b w:val="0"/>
          <w:bCs w:val="0"/>
          <w:color w:val="auto"/>
          <w:spacing w:val="-4"/>
          <w:sz w:val="28"/>
          <w:szCs w:val="28"/>
        </w:rPr>
        <w:t>进一步推进，</w:t>
      </w:r>
      <w:r>
        <w:rPr>
          <w:rStyle w:val="16"/>
          <w:rFonts w:hint="eastAsia" w:ascii="仿宋_GB2312" w:hAnsi="宋体" w:eastAsia="仿宋_GB2312"/>
          <w:b w:val="0"/>
          <w:bCs w:val="0"/>
          <w:color w:val="auto"/>
          <w:spacing w:val="-4"/>
          <w:sz w:val="28"/>
          <w:szCs w:val="28"/>
          <w:lang w:val="en-US" w:eastAsia="zh-CN"/>
        </w:rPr>
        <w:t>六</w:t>
      </w:r>
      <w:r>
        <w:rPr>
          <w:rStyle w:val="16"/>
          <w:rFonts w:hint="eastAsia" w:ascii="仿宋_GB2312" w:hAnsi="宋体" w:eastAsia="仿宋_GB2312"/>
          <w:b w:val="0"/>
          <w:bCs w:val="0"/>
          <w:color w:val="auto"/>
          <w:spacing w:val="-4"/>
          <w:sz w:val="28"/>
          <w:szCs w:val="28"/>
        </w:rPr>
        <w:t>是</w:t>
      </w:r>
      <w:r>
        <w:rPr>
          <w:rStyle w:val="16"/>
          <w:rFonts w:hint="eastAsia" w:ascii="仿宋_GB2312" w:hAnsi="宋体" w:eastAsia="仿宋_GB2312"/>
          <w:b w:val="0"/>
          <w:bCs w:val="0"/>
          <w:color w:val="auto"/>
          <w:spacing w:val="-4"/>
          <w:sz w:val="28"/>
          <w:szCs w:val="28"/>
          <w:lang w:val="en-US" w:eastAsia="zh-CN"/>
        </w:rPr>
        <w:t>财政监督</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val="en-US" w:eastAsia="zh-CN"/>
        </w:rPr>
        <w:t>特克斯县乔拉克铁热克镇</w:t>
      </w:r>
      <w:r>
        <w:rPr>
          <w:rStyle w:val="16"/>
          <w:rFonts w:hint="eastAsia" w:ascii="仿宋_GB2312" w:eastAsia="仿宋_GB2312" w:hAnsiTheme="minorEastAsia"/>
          <w:b w:val="0"/>
          <w:spacing w:val="-4"/>
          <w:sz w:val="28"/>
          <w:szCs w:val="28"/>
        </w:rPr>
        <w:t>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 xml:space="preserve">    个，二级指标</w:t>
      </w:r>
      <w:r>
        <w:rPr>
          <w:rStyle w:val="16"/>
          <w:rFonts w:hint="eastAsia" w:ascii="仿宋_GB2312" w:eastAsia="仿宋_GB2312" w:hAnsiTheme="minorEastAsia"/>
          <w:b w:val="0"/>
          <w:spacing w:val="-4"/>
          <w:sz w:val="28"/>
          <w:szCs w:val="28"/>
          <w:lang w:val="en-US" w:eastAsia="zh-CN"/>
        </w:rPr>
        <w:t>8</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14</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val="en-US" w:eastAsia="zh-CN"/>
        </w:rPr>
      </w:pPr>
      <w:r>
        <w:rPr>
          <w:rStyle w:val="16"/>
          <w:rFonts w:hint="eastAsia" w:ascii="仿宋_GB2312" w:hAnsi="宋体" w:eastAsia="仿宋_GB2312" w:cs="Times New Roman"/>
          <w:b w:val="0"/>
          <w:bCs w:val="0"/>
          <w:color w:val="auto"/>
          <w:spacing w:val="-4"/>
          <w:sz w:val="28"/>
          <w:szCs w:val="28"/>
          <w:lang w:val="en-US" w:eastAsia="zh-CN"/>
        </w:rPr>
        <w:t>指标1：保障性工资发放人数，指标值：=171人，实际完成值：171人，指标完成率100%；</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val="en-US" w:eastAsia="zh-CN"/>
        </w:rPr>
      </w:pPr>
      <w:r>
        <w:rPr>
          <w:rStyle w:val="16"/>
          <w:rFonts w:hint="eastAsia" w:ascii="仿宋_GB2312" w:hAnsi="宋体" w:eastAsia="仿宋_GB2312" w:cs="Times New Roman"/>
          <w:b w:val="0"/>
          <w:bCs w:val="0"/>
          <w:color w:val="auto"/>
          <w:spacing w:val="-4"/>
          <w:sz w:val="28"/>
          <w:szCs w:val="28"/>
          <w:lang w:val="en-US" w:eastAsia="zh-CN"/>
        </w:rPr>
        <w:t>指标2：乔拉克铁热克镇支出总单位（个），指标值：=10个 ，实际完成值：10个，指标完成率100%；</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val="en-US" w:eastAsia="zh-CN"/>
        </w:rPr>
      </w:pPr>
      <w:r>
        <w:rPr>
          <w:rStyle w:val="16"/>
          <w:rFonts w:hint="eastAsia" w:ascii="仿宋_GB2312" w:hAnsi="宋体" w:eastAsia="仿宋_GB2312" w:cs="Times New Roman"/>
          <w:b w:val="0"/>
          <w:bCs w:val="0"/>
          <w:color w:val="auto"/>
          <w:spacing w:val="-4"/>
          <w:sz w:val="28"/>
          <w:szCs w:val="28"/>
          <w:lang w:val="en-US" w:eastAsia="zh-CN"/>
        </w:rPr>
        <w:t>2、质量指标：</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cs="Times New Roman"/>
          <w:b w:val="0"/>
          <w:bCs w:val="0"/>
          <w:color w:val="auto"/>
          <w:spacing w:val="-4"/>
          <w:sz w:val="28"/>
          <w:szCs w:val="28"/>
          <w:lang w:val="en-US" w:eastAsia="zh-CN"/>
        </w:rPr>
        <w:t>指标1：全年全镇人员工资及社保错发漏发率，指标值：≤1%，实际完成值：1%，指标完成率100%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指标1：工资及社保发放及时性，指标值：=100%，实际完成值：100%，指标完成率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：公用经费支付及时率，指标值：≥99%，实际完成值：99%，指标完成率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指标1：人均工资福利支出，指标值</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≤9.037万元/人，实际完成值：9.037万元/人，指标完成率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：人均商品服务支出，指标值：≤1.35万元/人，实际完成值：1.35万元/人，指标完成率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：人均个人家庭补助支出</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指标值：≤1.01万元/人，实际完成值：1.01万元/人，指标完成率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、经济效益指标：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指标1：当地居民较上年人均收入提高（%），指标值：≥8%，实际完成值</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8%，指标完成率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6</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指标1：公共服务水平提升情况，指标值：有效提升，实际完成值： 有效提升，指标完成率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7</w:t>
      </w:r>
      <w:r>
        <w:rPr>
          <w:rStyle w:val="16"/>
          <w:rFonts w:hint="eastAsia" w:ascii="仿宋_GB2312" w:hAnsi="宋体" w:eastAsia="仿宋_GB2312"/>
          <w:b w:val="0"/>
          <w:spacing w:val="-4"/>
          <w:sz w:val="28"/>
          <w:szCs w:val="28"/>
        </w:rPr>
        <w:t>、生态效益指标：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指标1：扩大辖区绿化面积提高率，指标值：不断扩大，实际完成值：不断扩大，指标完成率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：垃圾清理转运批次有所提高，指标值：有效提高，实际完成值： 有效提高，指标完成率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8</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 辖区群众满意</w:t>
      </w:r>
      <w:r>
        <w:rPr>
          <w:rStyle w:val="16"/>
          <w:rFonts w:hint="eastAsia" w:ascii="仿宋_GB2312" w:hAnsi="宋体" w:eastAsia="仿宋_GB2312"/>
          <w:b w:val="0"/>
          <w:spacing w:val="-4"/>
          <w:sz w:val="28"/>
          <w:szCs w:val="28"/>
          <w:lang w:val="en-US" w:eastAsia="zh-CN"/>
        </w:rPr>
        <w:t>度</w:t>
      </w:r>
      <w:r>
        <w:rPr>
          <w:rStyle w:val="16"/>
          <w:rFonts w:hint="eastAsia" w:ascii="仿宋_GB2312" w:hAnsi="宋体" w:eastAsia="仿宋_GB2312"/>
          <w:b w:val="0"/>
          <w:spacing w:val="-4"/>
          <w:sz w:val="28"/>
          <w:szCs w:val="28"/>
        </w:rPr>
        <w:t>，指标值：≥95%，实际完成值：95%，指标完成率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bCs w:val="0"/>
          <w:color w:val="FF000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：来往旅游观光客满意度，指标值： ≥97</w:t>
      </w:r>
      <w:r>
        <w:rPr>
          <w:rStyle w:val="16"/>
          <w:rFonts w:hint="eastAsia" w:ascii="仿宋_GB2312" w:hAnsi="宋体" w:eastAsia="仿宋_GB2312"/>
          <w:b w:val="0"/>
          <w:spacing w:val="-4"/>
          <w:sz w:val="28"/>
          <w:szCs w:val="28"/>
          <w:lang w:val="en-US" w:eastAsia="zh-CN"/>
        </w:rPr>
        <w:t>%</w:t>
      </w:r>
      <w:r>
        <w:rPr>
          <w:rStyle w:val="16"/>
          <w:rFonts w:hint="eastAsia" w:ascii="仿宋_GB2312" w:hAnsi="宋体" w:eastAsia="仿宋_GB2312"/>
          <w:b w:val="0"/>
          <w:spacing w:val="-4"/>
          <w:sz w:val="28"/>
          <w:szCs w:val="28"/>
        </w:rPr>
        <w:t>，实际完成值： 97%，指标完成率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(一)预算执行存在偏差。</w:t>
      </w:r>
    </w:p>
    <w:p>
      <w:pPr>
        <w:pStyle w:val="12"/>
        <w:widowControl/>
        <w:spacing w:before="40" w:beforeAutospacing="0" w:after="0" w:afterAutospacing="0" w:line="520" w:lineRule="atLeast"/>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2"/>
        </w:numPr>
        <w:spacing w:line="560" w:lineRule="exact"/>
        <w:ind w:firstLine="530" w:firstLineChars="195"/>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项目细化管理工作不足。项目细化管理工作不足。在执行过程中，部门资金的使用范围并不能把握到位，造成项目遇到各种不确定因素，财政资金无法发挥最大使用效益</w:t>
      </w:r>
    </w:p>
    <w:p>
      <w:pPr>
        <w:pStyle w:val="29"/>
        <w:spacing w:line="560" w:lineRule="exact"/>
        <w:ind w:firstLine="544" w:firstLineChars="200"/>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spacing w:line="360" w:lineRule="auto"/>
        <w:rPr>
          <w:lang w:bidi="ar"/>
        </w:rPr>
      </w:pPr>
      <w:bookmarkStart w:id="28" w:name="_Toc70450318"/>
      <w:r>
        <w:rPr>
          <w:rFonts w:hint="eastAsia" w:ascii="仿宋" w:hAnsi="仿宋" w:eastAsia="仿宋"/>
          <w:sz w:val="36"/>
          <w:szCs w:val="36"/>
          <w:lang w:bidi="ar"/>
        </w:rPr>
        <w:t>七、改进措施和建议</w:t>
      </w:r>
      <w:bookmarkEnd w:id="28"/>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(二)完善管理制度,进-步加强资产管理。严格按照《固定资产管理办法》的规定，加强固定资产管理,及时登记、更新台账，加强资产卡片管理,对各类实物资产进行全面盘点,确保账账、账实相符。</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（三）加强学习。进一步明确如何参照考核体系，科学合理设定绩效目标，充分发挥预算绩效管理工作效用。</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（四）财务上，会计核算要更加详细，为本单位各项工作的开展、总结、评估提供有效数据资料支撑,为各项业务工作更好的开展提供帮助。</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（五）从源头上强化对专项资金预算管理。实行专项资金预算管理，结合单位实际, 按轻重缓急统筹安排编制预算,提高预算编制科学性和合理性,优化资金结构。</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（六）按时间进度分解资金使用计划。专项资金的使用，要事前做计划，事中进行控制，事后总结提高。合理安排资金使用,充分体现资金投向的目标和效益。</w:t>
      </w:r>
    </w:p>
    <w:p>
      <w:pPr>
        <w:snapToGrid w:val="0"/>
        <w:spacing w:line="360" w:lineRule="auto"/>
        <w:ind w:firstLine="544" w:firstLineChars="200"/>
      </w:pPr>
      <w:r>
        <w:rPr>
          <w:rStyle w:val="16"/>
          <w:rFonts w:hint="eastAsia" w:ascii="仿宋_GB2312" w:hAnsi="宋体" w:eastAsia="仿宋_GB2312" w:cs="Times New Roman"/>
          <w:b w:val="0"/>
          <w:spacing w:val="-4"/>
          <w:sz w:val="28"/>
          <w:szCs w:val="28"/>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pPr>
      <w:bookmarkStart w:id="29"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0" w:name="_Hlk70450148"/>
      <w:r>
        <w:rPr>
          <w:rStyle w:val="16"/>
          <w:rFonts w:hint="eastAsia" w:ascii="仿宋" w:hAnsi="仿宋" w:eastAsia="仿宋"/>
          <w:b/>
          <w:bCs/>
          <w:sz w:val="36"/>
          <w:szCs w:val="36"/>
        </w:rPr>
        <w:t>《部门整体支出绩效目标自评表》</w:t>
      </w:r>
      <w:bookmarkEnd w:id="29"/>
      <w:bookmarkEnd w:id="30"/>
      <w:r>
        <w:br w:type="page"/>
      </w:r>
    </w:p>
    <w:tbl>
      <w:tblPr>
        <w:tblStyle w:val="14"/>
        <w:tblW w:w="9885" w:type="dxa"/>
        <w:tblInd w:w="-606" w:type="dxa"/>
        <w:tblLayout w:type="fixed"/>
        <w:tblCellMar>
          <w:top w:w="0" w:type="dxa"/>
          <w:left w:w="108" w:type="dxa"/>
          <w:bottom w:w="0" w:type="dxa"/>
          <w:right w:w="108" w:type="dxa"/>
        </w:tblCellMar>
      </w:tblPr>
      <w:tblGrid>
        <w:gridCol w:w="590"/>
        <w:gridCol w:w="1236"/>
        <w:gridCol w:w="2225"/>
        <w:gridCol w:w="994"/>
        <w:gridCol w:w="994"/>
        <w:gridCol w:w="861"/>
        <w:gridCol w:w="995"/>
        <w:gridCol w:w="497"/>
        <w:gridCol w:w="498"/>
        <w:gridCol w:w="995"/>
      </w:tblGrid>
      <w:tr>
        <w:tblPrEx>
          <w:tblLayout w:type="fixed"/>
          <w:tblCellMar>
            <w:top w:w="0" w:type="dxa"/>
            <w:left w:w="108" w:type="dxa"/>
            <w:bottom w:w="0" w:type="dxa"/>
            <w:right w:w="108" w:type="dxa"/>
          </w:tblCellMar>
        </w:tblPrEx>
        <w:trPr>
          <w:trHeight w:val="405" w:hRule="atLeast"/>
        </w:trPr>
        <w:tc>
          <w:tcPr>
            <w:tcW w:w="988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Layout w:type="fixed"/>
          <w:tblCellMar>
            <w:top w:w="0" w:type="dxa"/>
            <w:left w:w="108" w:type="dxa"/>
            <w:bottom w:w="0" w:type="dxa"/>
            <w:right w:w="108" w:type="dxa"/>
          </w:tblCellMar>
        </w:tblPrEx>
        <w:trPr>
          <w:trHeight w:val="285" w:hRule="atLeast"/>
        </w:trPr>
        <w:tc>
          <w:tcPr>
            <w:tcW w:w="988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Layout w:type="fixed"/>
          <w:tblCellMar>
            <w:top w:w="0" w:type="dxa"/>
            <w:left w:w="108" w:type="dxa"/>
            <w:bottom w:w="0" w:type="dxa"/>
            <w:right w:w="108" w:type="dxa"/>
          </w:tblCellMar>
        </w:tblPrEx>
        <w:trPr>
          <w:trHeight w:val="285" w:hRule="atLeast"/>
        </w:trPr>
        <w:tc>
          <w:tcPr>
            <w:tcW w:w="182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8059"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特克斯县乔拉克铁热克镇人民政府</w:t>
            </w:r>
          </w:p>
        </w:tc>
      </w:tr>
      <w:tr>
        <w:tblPrEx>
          <w:tblLayout w:type="fixed"/>
          <w:tblCellMar>
            <w:top w:w="0" w:type="dxa"/>
            <w:left w:w="108" w:type="dxa"/>
            <w:bottom w:w="0" w:type="dxa"/>
            <w:right w:w="108" w:type="dxa"/>
          </w:tblCellMar>
        </w:tblPrEx>
        <w:trPr>
          <w:trHeight w:val="285" w:hRule="atLeast"/>
        </w:trPr>
        <w:tc>
          <w:tcPr>
            <w:tcW w:w="590"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236"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任务名称</w:t>
            </w:r>
          </w:p>
        </w:tc>
        <w:tc>
          <w:tcPr>
            <w:tcW w:w="2225"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主要内容</w:t>
            </w:r>
          </w:p>
        </w:tc>
        <w:tc>
          <w:tcPr>
            <w:tcW w:w="284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985"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23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22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9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99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86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99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总额</w:t>
            </w:r>
          </w:p>
        </w:tc>
        <w:tc>
          <w:tcPr>
            <w:tcW w:w="995"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99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222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用于保障单位职工工资、津补贴、社保等人员类支出及对个人及家庭的补助</w:t>
            </w:r>
          </w:p>
        </w:tc>
        <w:tc>
          <w:tcPr>
            <w:tcW w:w="9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1718.78</w:t>
            </w:r>
          </w:p>
        </w:tc>
        <w:tc>
          <w:tcPr>
            <w:tcW w:w="9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1718.78</w:t>
            </w:r>
          </w:p>
        </w:tc>
        <w:tc>
          <w:tcPr>
            <w:tcW w:w="86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0</w:t>
            </w:r>
          </w:p>
        </w:tc>
        <w:tc>
          <w:tcPr>
            <w:tcW w:w="9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1718.78</w:t>
            </w:r>
          </w:p>
        </w:tc>
        <w:tc>
          <w:tcPr>
            <w:tcW w:w="99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1718.78</w:t>
            </w:r>
          </w:p>
        </w:tc>
        <w:tc>
          <w:tcPr>
            <w:tcW w:w="9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2225"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用于保障政府及各站所日常经费等商品服务类支出</w:t>
            </w:r>
          </w:p>
        </w:tc>
        <w:tc>
          <w:tcPr>
            <w:tcW w:w="99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231.1</w:t>
            </w:r>
          </w:p>
        </w:tc>
        <w:tc>
          <w:tcPr>
            <w:tcW w:w="9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231.1</w:t>
            </w:r>
          </w:p>
        </w:tc>
        <w:tc>
          <w:tcPr>
            <w:tcW w:w="86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0</w:t>
            </w:r>
          </w:p>
        </w:tc>
        <w:tc>
          <w:tcPr>
            <w:tcW w:w="9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231.1</w:t>
            </w:r>
          </w:p>
        </w:tc>
        <w:tc>
          <w:tcPr>
            <w:tcW w:w="99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231.1</w:t>
            </w:r>
          </w:p>
        </w:tc>
        <w:tc>
          <w:tcPr>
            <w:tcW w:w="9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46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99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1949.88</w:t>
            </w:r>
          </w:p>
        </w:tc>
        <w:tc>
          <w:tcPr>
            <w:tcW w:w="9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1949.88</w:t>
            </w:r>
          </w:p>
        </w:tc>
        <w:tc>
          <w:tcPr>
            <w:tcW w:w="86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0</w:t>
            </w:r>
          </w:p>
        </w:tc>
        <w:tc>
          <w:tcPr>
            <w:tcW w:w="9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1949.88</w:t>
            </w:r>
          </w:p>
        </w:tc>
        <w:tc>
          <w:tcPr>
            <w:tcW w:w="99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1949.88</w:t>
            </w:r>
          </w:p>
        </w:tc>
        <w:tc>
          <w:tcPr>
            <w:tcW w:w="9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0</w:t>
            </w:r>
          </w:p>
        </w:tc>
      </w:tr>
      <w:tr>
        <w:tblPrEx>
          <w:tblLayout w:type="fixed"/>
          <w:tblCellMar>
            <w:top w:w="0" w:type="dxa"/>
            <w:left w:w="108" w:type="dxa"/>
            <w:bottom w:w="0" w:type="dxa"/>
            <w:right w:w="108" w:type="dxa"/>
          </w:tblCellMar>
        </w:tblPrEx>
        <w:trPr>
          <w:trHeight w:val="285" w:hRule="atLeast"/>
        </w:trPr>
        <w:tc>
          <w:tcPr>
            <w:tcW w:w="590"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455"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840" w:type="dxa"/>
            <w:gridSpan w:val="6"/>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455"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2021年，是全面建成小康社会和脱贫攻坚决胜之年，也是实现社会稳定和长治久安，谱写打造“塞外江南”新伊犁的特克斯新篇章建设魅力乔镇而不懈奋斗的关键一年，做好今年的工作，意义重大。当前，随着党中央对新疆支持力度的不断加大，新一轮对口支疆的深度实施，丝绸之路经济带核心区建设的有力推进，以及稳定红利的持续释放，为我们实现更好的发展提供了更多机遇，尤为可贵的是经过近年来爬坡过坎、负重前行，全镇上下思想行动更加统一，目标路径更加清晰，体制机制更加顺畅，干事创业的劲头更加充足，蓄势待发的局面已经形成。我们要坚定信心、咬定目标，抢抓机遇、乘势而上，攻坚克难、奋力前行，持续推进我镇各项事业稳步前进。面对新形势新任务，2021年工作的总体要求是：以习近平新时代中国特色社会主义思想为指引，深入贯彻中央经济工作会议精神，贯彻落实习近平总书记关于新疆工作的重要讲话、重要指示批示精神和新时代党的治疆方略，贯彻落实自治区党委九届八次全体会议、经济工作会议和州党委会议、县委十二届六次全委（扩大）会议精神，聚焦社会稳定和长治久安总目标，2021年工作的目标任务是：社会大局持续稳定，经济发展稳中有进，脱贫攻坚全面实现，全镇生产总值增长6%，固定资产投资增长6%以上，农村居民人均可支配收入增长8%，****出生率控制在9‰以内，确保全面建成小康社会。围绕县委各项重点工作目标任务，2021年工作的总体任务是：在打造社会稳定样板区的进程中取得新胜利，在打造经济发展骨干区的进程中展现新作为，在打造对外开放先导区的进程中迈出新步伐，在打造民生改善先行区的进程中获得新提升，在打造民族团结示范区的进程中实现新发展，在打造生态建设引领区的进程中收获新成效。</w:t>
            </w:r>
          </w:p>
        </w:tc>
        <w:tc>
          <w:tcPr>
            <w:tcW w:w="4840"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2021年，是全面建成小康社会和脱贫攻坚决胜之年，也是实现社会稳定和长治久安，谱写打造“塞外江南”新伊犁的特克斯新篇章建设魅力乔镇而不懈奋斗的关键一年，做好今年的工作，意义重大。当前，随着党中央对新疆支持力度的不断加大，新一轮对口支疆的深度实施，丝绸之路经济带核心区建设的有力推进，以及稳定红利的持续释放，为我们实现更好的发展提供了更多机遇，尤为可贵的是经过近年来爬坡过坎、负重前行，全镇上下思想行动更加统一，目标路径更加清晰，体制机制更加顺畅，干事创业的劲头更加充足，蓄势待发的局面已经形成。我们要坚定信心、咬定目标，抢抓机遇、乘势而上，攻坚克难、奋力前行，持续推进我镇各项事业稳步前进。面对新形势新任务，2021年工作的总体要求是：以习近平新时代中国特色社会主义思想为指引，深入贯彻中央经济工作会议精神，贯彻落实习近平总书记关于新疆工作的重要讲话、重要指示批示精神和新时代党的治疆方略，贯彻落实自治区党委九届八次全体会议、经济工作会议和州党委会议、县委十二届六次全委（扩大）会议精神，聚焦社会稳定和长治久安总目标，2021年工作的目标任务是：社会大局持续稳定，经济发展稳中有进，脱贫攻坚全面实现，全镇生产总值增长6%，固定资产投资增长6%以上，农村居民人均可支配收入增长8%，****出生率控制在9‰以内，确保全面建成小康社会。围绕县委各项重点工作目标任务，2021年工作的总体任务是：在打造社会稳定样板区的进程中取得新胜利，在打造经济发展骨干区的进程中展现新作为，在打造对外开放先导区的进程中迈出新步伐，在打造民生改善先行区的进程中获得新提升，在打造民族团结示范区的进程中实现新发展，在打造生态建设引领区的进程中收获新成效。</w:t>
            </w:r>
          </w:p>
        </w:tc>
      </w:tr>
      <w:tr>
        <w:tblPrEx>
          <w:tblLayout w:type="fixed"/>
          <w:tblCellMar>
            <w:top w:w="0" w:type="dxa"/>
            <w:left w:w="108" w:type="dxa"/>
            <w:bottom w:w="0" w:type="dxa"/>
            <w:right w:w="108" w:type="dxa"/>
          </w:tblCellMar>
        </w:tblPrEx>
        <w:trPr>
          <w:trHeight w:val="285" w:hRule="atLeast"/>
        </w:trPr>
        <w:tc>
          <w:tcPr>
            <w:tcW w:w="590"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36"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2225"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849" w:type="dxa"/>
            <w:gridSpan w:val="3"/>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49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49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2225"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84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保障性工资发放人数</w:t>
            </w:r>
          </w:p>
        </w:tc>
        <w:tc>
          <w:tcPr>
            <w:tcW w:w="149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=171人</w:t>
            </w:r>
          </w:p>
        </w:tc>
        <w:tc>
          <w:tcPr>
            <w:tcW w:w="149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171人</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236"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2225" w:type="dxa"/>
            <w:vMerge w:val="continue"/>
            <w:tcBorders>
              <w:top w:val="single" w:color="auto" w:sz="4" w:space="0"/>
              <w:left w:val="nil"/>
              <w:bottom w:val="single" w:color="auto" w:sz="4" w:space="0"/>
              <w:right w:val="nil"/>
            </w:tcBorders>
            <w:shd w:val="clear" w:color="auto" w:fill="auto"/>
            <w:vAlign w:val="center"/>
          </w:tcPr>
          <w:p>
            <w:pPr>
              <w:jc w:val="cente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乔拉克铁热克镇支出总单位（个）</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=10个</w:t>
            </w:r>
          </w:p>
        </w:tc>
        <w:tc>
          <w:tcPr>
            <w:tcW w:w="149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10个</w:t>
            </w:r>
          </w:p>
        </w:tc>
      </w:tr>
      <w:tr>
        <w:tblPrEx>
          <w:tblLayout w:type="fixed"/>
          <w:tblCellMar>
            <w:top w:w="0" w:type="dxa"/>
            <w:left w:w="108" w:type="dxa"/>
            <w:bottom w:w="0" w:type="dxa"/>
            <w:right w:w="108" w:type="dxa"/>
          </w:tblCellMar>
        </w:tblPrEx>
        <w:trPr>
          <w:trHeight w:val="2070" w:hRule="atLeast"/>
        </w:trPr>
        <w:tc>
          <w:tcPr>
            <w:tcW w:w="59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236"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22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质量指标</w:t>
            </w:r>
          </w:p>
        </w:tc>
        <w:tc>
          <w:tcPr>
            <w:tcW w:w="284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全年全镇人员工资及社保错发漏发率</w:t>
            </w:r>
          </w:p>
        </w:tc>
        <w:tc>
          <w:tcPr>
            <w:tcW w:w="149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w:t>
            </w:r>
          </w:p>
        </w:tc>
        <w:tc>
          <w:tcPr>
            <w:tcW w:w="1493"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w:t>
            </w:r>
          </w:p>
        </w:tc>
      </w:tr>
      <w:tr>
        <w:tblPrEx>
          <w:tblLayout w:type="fixed"/>
          <w:tblCellMar>
            <w:top w:w="0" w:type="dxa"/>
            <w:left w:w="108" w:type="dxa"/>
            <w:bottom w:w="0" w:type="dxa"/>
            <w:right w:w="108" w:type="dxa"/>
          </w:tblCellMar>
        </w:tblPrEx>
        <w:trPr>
          <w:trHeight w:val="885" w:hRule="atLeast"/>
        </w:trPr>
        <w:tc>
          <w:tcPr>
            <w:tcW w:w="59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236" w:type="dxa"/>
            <w:vMerge w:val="continue"/>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225"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84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工资及社保发放及时性</w:t>
            </w:r>
          </w:p>
        </w:tc>
        <w:tc>
          <w:tcPr>
            <w:tcW w:w="149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493"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22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公用经费支付及时率</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≥99%</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99%</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人均工资福利支出</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≤9.037万元/人</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9.037万元/人</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人均商品服务支出</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≤1.35万元/人</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1.35万元/人</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人均个人家庭补助支出</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≤1.01万元/人</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1.01万元/人</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222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经济效益指标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当地居民较上年人均收入提高（%）</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≥8%</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公共服务水平提升情况</w:t>
            </w:r>
          </w:p>
        </w:tc>
        <w:tc>
          <w:tcPr>
            <w:tcW w:w="149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有效提升</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有效提升</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生态效益指标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扩大辖区绿化面积提高率</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不断扩大</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不断扩大</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垃圾清理转运批次有所提高</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有效提高</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有效提高</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22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辖区群众满意度</w:t>
            </w:r>
          </w:p>
        </w:tc>
        <w:tc>
          <w:tcPr>
            <w:tcW w:w="149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≥95%</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来往旅游观光客满意度</w:t>
            </w:r>
          </w:p>
        </w:tc>
        <w:tc>
          <w:tcPr>
            <w:tcW w:w="1492"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≥97%</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97%</w:t>
            </w:r>
          </w:p>
        </w:tc>
      </w:tr>
      <w:tr>
        <w:tblPrEx>
          <w:tblLayout w:type="fixed"/>
          <w:tblCellMar>
            <w:top w:w="0" w:type="dxa"/>
            <w:left w:w="108" w:type="dxa"/>
            <w:bottom w:w="0" w:type="dxa"/>
            <w:right w:w="108" w:type="dxa"/>
          </w:tblCellMar>
        </w:tblPrEx>
        <w:trPr>
          <w:trHeight w:val="285" w:hRule="atLeast"/>
        </w:trPr>
        <w:tc>
          <w:tcPr>
            <w:tcW w:w="9885" w:type="dxa"/>
            <w:gridSpan w:val="10"/>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Layout w:type="fixed"/>
          <w:tblCellMar>
            <w:top w:w="0" w:type="dxa"/>
            <w:left w:w="108" w:type="dxa"/>
            <w:bottom w:w="0" w:type="dxa"/>
            <w:right w:w="108" w:type="dxa"/>
          </w:tblCellMar>
        </w:tblPrEx>
        <w:trPr>
          <w:trHeight w:val="285" w:hRule="atLeast"/>
        </w:trPr>
        <w:tc>
          <w:tcPr>
            <w:tcW w:w="9885" w:type="dxa"/>
            <w:gridSpan w:val="10"/>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32"/>
                <w:szCs w:val="32"/>
                <w:u w:val="none"/>
                <w:lang w:val="en-US" w:eastAsia="zh-CN" w:bidi="ar"/>
              </w:rPr>
              <w:t>(2021年)</w:t>
            </w:r>
          </w:p>
        </w:tc>
      </w:tr>
      <w:tr>
        <w:tblPrEx>
          <w:tblLayout w:type="fixed"/>
          <w:tblCellMar>
            <w:top w:w="0" w:type="dxa"/>
            <w:left w:w="108" w:type="dxa"/>
            <w:bottom w:w="0" w:type="dxa"/>
            <w:right w:w="108" w:type="dxa"/>
          </w:tblCellMar>
        </w:tblPrEx>
        <w:trPr>
          <w:trHeight w:val="285" w:hRule="atLeast"/>
        </w:trPr>
        <w:tc>
          <w:tcPr>
            <w:tcW w:w="1826"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8059" w:type="dxa"/>
            <w:gridSpan w:val="8"/>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特克斯县乔拉克铁热克镇人民政府</w:t>
            </w:r>
          </w:p>
        </w:tc>
      </w:tr>
      <w:tr>
        <w:tblPrEx>
          <w:tblLayout w:type="fixed"/>
          <w:tblCellMar>
            <w:top w:w="0" w:type="dxa"/>
            <w:left w:w="108" w:type="dxa"/>
            <w:bottom w:w="0" w:type="dxa"/>
            <w:right w:w="108" w:type="dxa"/>
          </w:tblCellMar>
        </w:tblPrEx>
        <w:trPr>
          <w:trHeight w:val="285" w:hRule="atLeast"/>
        </w:trPr>
        <w:tc>
          <w:tcPr>
            <w:tcW w:w="590"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23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2225"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主要内容</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985"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99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99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86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其他资金</w:t>
            </w:r>
          </w:p>
        </w:tc>
        <w:tc>
          <w:tcPr>
            <w:tcW w:w="995"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99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财政拨款</w:t>
            </w:r>
          </w:p>
        </w:tc>
        <w:tc>
          <w:tcPr>
            <w:tcW w:w="995"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222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用于保障单位职工工资、津补贴、社保等人员类支出及对个人及家庭的补助</w:t>
            </w:r>
          </w:p>
        </w:tc>
        <w:tc>
          <w:tcPr>
            <w:tcW w:w="99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1718.78</w:t>
            </w:r>
          </w:p>
        </w:tc>
        <w:tc>
          <w:tcPr>
            <w:tcW w:w="99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1718.78</w:t>
            </w:r>
          </w:p>
        </w:tc>
        <w:tc>
          <w:tcPr>
            <w:tcW w:w="861"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0</w:t>
            </w:r>
          </w:p>
        </w:tc>
        <w:tc>
          <w:tcPr>
            <w:tcW w:w="99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1718.78</w:t>
            </w:r>
          </w:p>
        </w:tc>
        <w:tc>
          <w:tcPr>
            <w:tcW w:w="99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1718.78</w:t>
            </w:r>
          </w:p>
        </w:tc>
        <w:tc>
          <w:tcPr>
            <w:tcW w:w="995"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2225"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用于保障政府及各站所日常经费等商品服务类支出</w:t>
            </w:r>
          </w:p>
        </w:tc>
        <w:tc>
          <w:tcPr>
            <w:tcW w:w="99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231.1</w:t>
            </w:r>
          </w:p>
        </w:tc>
        <w:tc>
          <w:tcPr>
            <w:tcW w:w="99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231.1</w:t>
            </w:r>
          </w:p>
        </w:tc>
        <w:tc>
          <w:tcPr>
            <w:tcW w:w="86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0</w:t>
            </w:r>
          </w:p>
        </w:tc>
        <w:tc>
          <w:tcPr>
            <w:tcW w:w="995"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231.1</w:t>
            </w:r>
          </w:p>
        </w:tc>
        <w:tc>
          <w:tcPr>
            <w:tcW w:w="99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231.1</w:t>
            </w:r>
          </w:p>
        </w:tc>
        <w:tc>
          <w:tcPr>
            <w:tcW w:w="995"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461"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99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1949.88</w:t>
            </w:r>
          </w:p>
        </w:tc>
        <w:tc>
          <w:tcPr>
            <w:tcW w:w="99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1949.88</w:t>
            </w:r>
          </w:p>
        </w:tc>
        <w:tc>
          <w:tcPr>
            <w:tcW w:w="86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0</w:t>
            </w:r>
          </w:p>
        </w:tc>
        <w:tc>
          <w:tcPr>
            <w:tcW w:w="995"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1949.88</w:t>
            </w:r>
          </w:p>
        </w:tc>
        <w:tc>
          <w:tcPr>
            <w:tcW w:w="99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1949.88</w:t>
            </w:r>
          </w:p>
        </w:tc>
        <w:tc>
          <w:tcPr>
            <w:tcW w:w="995"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0</w:t>
            </w:r>
          </w:p>
        </w:tc>
      </w:tr>
      <w:tr>
        <w:tblPrEx>
          <w:tblLayout w:type="fixed"/>
          <w:tblCellMar>
            <w:top w:w="0" w:type="dxa"/>
            <w:left w:w="108" w:type="dxa"/>
            <w:bottom w:w="0" w:type="dxa"/>
            <w:right w:w="108" w:type="dxa"/>
          </w:tblCellMar>
        </w:tblPrEx>
        <w:trPr>
          <w:trHeight w:val="285" w:hRule="atLeast"/>
        </w:trPr>
        <w:tc>
          <w:tcPr>
            <w:tcW w:w="590"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455" w:type="dxa"/>
            <w:gridSpan w:val="3"/>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840" w:type="dxa"/>
            <w:gridSpan w:val="6"/>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color w:val="000000"/>
                <w:kern w:val="0"/>
                <w:sz w:val="22"/>
                <w:szCs w:val="22"/>
              </w:rPr>
            </w:pP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455" w:type="dxa"/>
            <w:gridSpan w:val="3"/>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2021年，是全面建成小康社会和脱贫攻坚决胜之年，也是实现社会稳定和长治久安，谱写打造“塞外江南”新伊犁的特克斯新篇章建设魅力乔镇而不懈奋斗的关键一年，做好今年的工作，意义重大。当前，随着党中央对新疆支持力度的不断加大，新一轮对口支疆的深度实施，丝绸之路经济带核心区建设的有力推进，以及稳定红利的持续释放，为我们实现更好的发展提供了更多机遇，尤为可贵的是经过近年来爬坡过坎、负重前行，全镇上下思想行动更加统一，目标路径更加清晰，体制机制更加顺畅，干事创业的劲头更加充足，蓄势待发的局面已经形成。我们要坚定信心、咬定目标，抢抓机遇、乘势而上，攻坚克难、奋力前行，持续推进我镇各项事业稳步前进。面对新形势新任务，2021年工作的总体要求是：以习近平新时代中国特色社会主义思想为指引，深入贯彻中央经济工作会议精神，贯彻落实习近平总书记关于新疆工作的重要讲话、重要指示批示精神和新时代党的治疆方略，贯彻落实自治区党委九届八次全体会议、经济工作会议和州党委会议、县委十二届六次全委（扩大）会议精神，聚焦社会稳定和长治久安总目标，2021年工作的目标任务是：社会大局持续稳定，经济发展稳中有进，脱贫攻坚全面实现，全镇生产总值增长6%，固定资产投资增长6%以上，农村居民人均可支配收入增长8%，****出生率控制在9‰以内，确保全面建成小康社会。围绕县委各项重点工作目标任务，2021年工作的总体任务是：在打造社会稳定样板区的进程中取得新胜利，在打造经济发展骨干区的进程中展现新作为，在打造对外开放先导区的进程中迈出新步伐，在打造民生改善先行区的进程中获得新提升，在打造民族团结示范区的进程中实现新发展，在打造生态建设引领区的进程中收获新成效。</w:t>
            </w:r>
          </w:p>
        </w:tc>
        <w:tc>
          <w:tcPr>
            <w:tcW w:w="4840" w:type="dxa"/>
            <w:gridSpan w:val="6"/>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2021年，是全面建成小康社会和脱贫攻坚决胜之年，也是实现社会稳定和长治久安，谱写打造“塞外江南”新伊犁的特克斯新篇章建设魅力乔镇而不懈奋斗的关键一年，做好今年的工作，意义重大。当前，随着党中央对新疆支持力度的不断加大，新一轮对口支疆的深度实施，丝绸之路经济带核心区建设的有力推进，以及稳定红利的持续释放，为我们实现更好的发展提供了更多机遇，尤为可贵的是经过近年来爬坡过坎、负重前行，全镇上下思想行动更加统一，目标路径更加清晰，体制机制更加顺畅，干事创业的劲头更加充足，蓄势待发的局面已经形成。我们要坚定信心、咬定目标，抢抓机遇、乘势而上，攻坚克难、奋力前行，持续推进我镇各项事业稳步前进。面对新形势新任务，2021年工作的总体要求是：以习近平新时代中国特色社会主义思想为指引，深入贯彻中央经济工作会议精神，贯彻落实习近平总书记关于新疆工作的重要讲话、重要指示批示精神和新时代党的治疆方略，贯彻落实自治区党委九届八次全体会议、经济工作会议和州党委会议、县委十二届六次全委（扩大）会议精神，聚焦社会稳定和长治久安总目标，2021年工作的目标任务是：社会大局持续稳定，经济发展稳中有进，脱贫攻坚全面实现，全镇生产总值增长6%，固定资产投资增长6%以上，农村居民人均可支配收入增长8%，****出生率控制在9‰以内，确保全面建成小康社会。围绕县委各项重点工作目标任务，2021年工作的总体任务是：在打造社会稳定样板区的进程中取得新胜利，在打造经济发展骨干区的进程中展现新作为，在打造对外开放先导区的进程中迈出新步伐，在打造民生改善先行区的进程中获得新提升，在打造民族团结示范区的进程中实现新发展，在打造生态建设引领区的进程中收获新成效。</w:t>
            </w:r>
          </w:p>
        </w:tc>
      </w:tr>
      <w:tr>
        <w:tblPrEx>
          <w:tblLayout w:type="fixed"/>
          <w:tblCellMar>
            <w:top w:w="0" w:type="dxa"/>
            <w:left w:w="108" w:type="dxa"/>
            <w:bottom w:w="0" w:type="dxa"/>
            <w:right w:w="108" w:type="dxa"/>
          </w:tblCellMar>
        </w:tblPrEx>
        <w:trPr>
          <w:trHeight w:val="285" w:hRule="atLeast"/>
        </w:trPr>
        <w:tc>
          <w:tcPr>
            <w:tcW w:w="590"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222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222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保障性工资发放人数</w:t>
            </w:r>
          </w:p>
        </w:tc>
        <w:tc>
          <w:tcPr>
            <w:tcW w:w="149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=171人</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171人</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乔拉克铁热克镇支出总单位（个）</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=10个</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10个</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全年全镇人员工资及社保错发漏发率</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工资及社保发放及时性</w:t>
            </w:r>
          </w:p>
        </w:tc>
        <w:tc>
          <w:tcPr>
            <w:tcW w:w="149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25"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公用经费支付及时率</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≥99%</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99%</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2225"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人均工资福利支出</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≤9.037万元/人</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9.037万元/人</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kern w:val="0"/>
                <w:sz w:val="24"/>
              </w:rPr>
            </w:pPr>
          </w:p>
        </w:tc>
        <w:tc>
          <w:tcPr>
            <w:tcW w:w="2225"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人均商品服务支出</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≤1.35万元/人</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1.35万元/人</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kern w:val="0"/>
                <w:sz w:val="24"/>
              </w:rPr>
            </w:pPr>
          </w:p>
        </w:tc>
        <w:tc>
          <w:tcPr>
            <w:tcW w:w="2225"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人均个人家庭补助支出</w:t>
            </w:r>
          </w:p>
        </w:tc>
        <w:tc>
          <w:tcPr>
            <w:tcW w:w="149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≤1.01万元/人</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1.01万元/人</w:t>
            </w:r>
          </w:p>
        </w:tc>
      </w:tr>
      <w:tr>
        <w:tblPrEx>
          <w:tblLayout w:type="fixed"/>
          <w:tblCellMar>
            <w:top w:w="0" w:type="dxa"/>
            <w:left w:w="108" w:type="dxa"/>
            <w:bottom w:w="0" w:type="dxa"/>
            <w:right w:w="108" w:type="dxa"/>
          </w:tblCellMar>
        </w:tblPrEx>
        <w:trPr>
          <w:trHeight w:val="285" w:hRule="atLeast"/>
        </w:trPr>
        <w:tc>
          <w:tcPr>
            <w:tcW w:w="59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36" w:type="dxa"/>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2225"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经济效益指标</w:t>
            </w:r>
          </w:p>
        </w:tc>
        <w:tc>
          <w:tcPr>
            <w:tcW w:w="284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当地居民较上年人均收入提高（%）</w:t>
            </w:r>
          </w:p>
        </w:tc>
        <w:tc>
          <w:tcPr>
            <w:tcW w:w="149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≥8%</w:t>
            </w:r>
          </w:p>
        </w:tc>
        <w:tc>
          <w:tcPr>
            <w:tcW w:w="1493"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74002561"/>
    <w:multiLevelType w:val="singleLevel"/>
    <w:tmpl w:val="7400256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46EF8"/>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CF32DE"/>
    <w:rsid w:val="04D924F9"/>
    <w:rsid w:val="069840E6"/>
    <w:rsid w:val="09273A00"/>
    <w:rsid w:val="0A21150B"/>
    <w:rsid w:val="0A2F0DBE"/>
    <w:rsid w:val="0DB339BC"/>
    <w:rsid w:val="0DD04666"/>
    <w:rsid w:val="0E9A5E97"/>
    <w:rsid w:val="10517CC3"/>
    <w:rsid w:val="117861A2"/>
    <w:rsid w:val="124C6CD9"/>
    <w:rsid w:val="12F427FF"/>
    <w:rsid w:val="13052415"/>
    <w:rsid w:val="14D26F15"/>
    <w:rsid w:val="15746562"/>
    <w:rsid w:val="161C62C6"/>
    <w:rsid w:val="165F0C7D"/>
    <w:rsid w:val="170D7BBE"/>
    <w:rsid w:val="17E70F2A"/>
    <w:rsid w:val="1820103A"/>
    <w:rsid w:val="18327ED6"/>
    <w:rsid w:val="18866995"/>
    <w:rsid w:val="19022D85"/>
    <w:rsid w:val="1BFE4A94"/>
    <w:rsid w:val="1C0E35FF"/>
    <w:rsid w:val="1C580648"/>
    <w:rsid w:val="1E4E3AB1"/>
    <w:rsid w:val="1E8F5E77"/>
    <w:rsid w:val="1EB60E4D"/>
    <w:rsid w:val="1F103620"/>
    <w:rsid w:val="1FCB7383"/>
    <w:rsid w:val="217C26E3"/>
    <w:rsid w:val="21C11F5F"/>
    <w:rsid w:val="221119BC"/>
    <w:rsid w:val="236E24FF"/>
    <w:rsid w:val="252D7CD6"/>
    <w:rsid w:val="273568A4"/>
    <w:rsid w:val="277A5916"/>
    <w:rsid w:val="28A4210B"/>
    <w:rsid w:val="294A30C6"/>
    <w:rsid w:val="2B430715"/>
    <w:rsid w:val="2EF44200"/>
    <w:rsid w:val="2FEF6776"/>
    <w:rsid w:val="311F5A4A"/>
    <w:rsid w:val="324F174E"/>
    <w:rsid w:val="32CF0E8E"/>
    <w:rsid w:val="374E46CA"/>
    <w:rsid w:val="3C410359"/>
    <w:rsid w:val="3C74119C"/>
    <w:rsid w:val="3CED6822"/>
    <w:rsid w:val="3D2E04EC"/>
    <w:rsid w:val="3E35064C"/>
    <w:rsid w:val="3F340649"/>
    <w:rsid w:val="3F7153F9"/>
    <w:rsid w:val="414956DF"/>
    <w:rsid w:val="421D3616"/>
    <w:rsid w:val="43762FDE"/>
    <w:rsid w:val="466D782C"/>
    <w:rsid w:val="472961BF"/>
    <w:rsid w:val="47A10846"/>
    <w:rsid w:val="481D611E"/>
    <w:rsid w:val="49522223"/>
    <w:rsid w:val="4A451E53"/>
    <w:rsid w:val="4A58343D"/>
    <w:rsid w:val="4BEF7DD1"/>
    <w:rsid w:val="4CCF3EB1"/>
    <w:rsid w:val="4D401BC7"/>
    <w:rsid w:val="4D6E1AA9"/>
    <w:rsid w:val="4E4D7031"/>
    <w:rsid w:val="4E631DFC"/>
    <w:rsid w:val="4E7F1434"/>
    <w:rsid w:val="50715259"/>
    <w:rsid w:val="51446BC4"/>
    <w:rsid w:val="547A66A6"/>
    <w:rsid w:val="54F77E01"/>
    <w:rsid w:val="56361AE1"/>
    <w:rsid w:val="56876BE0"/>
    <w:rsid w:val="57F91504"/>
    <w:rsid w:val="58056FFF"/>
    <w:rsid w:val="59F772C6"/>
    <w:rsid w:val="5A9C4210"/>
    <w:rsid w:val="5AA85A46"/>
    <w:rsid w:val="5AEE605F"/>
    <w:rsid w:val="5B2E4C7D"/>
    <w:rsid w:val="5E59557E"/>
    <w:rsid w:val="5EEC3727"/>
    <w:rsid w:val="5FD749AD"/>
    <w:rsid w:val="61AD1E69"/>
    <w:rsid w:val="64F90E7A"/>
    <w:rsid w:val="65701B13"/>
    <w:rsid w:val="65D025CA"/>
    <w:rsid w:val="66715C83"/>
    <w:rsid w:val="671F410F"/>
    <w:rsid w:val="674669D6"/>
    <w:rsid w:val="67997354"/>
    <w:rsid w:val="68EA39A3"/>
    <w:rsid w:val="6A32158B"/>
    <w:rsid w:val="6A4A1027"/>
    <w:rsid w:val="6A4C5D75"/>
    <w:rsid w:val="6C007680"/>
    <w:rsid w:val="6C8D2FC3"/>
    <w:rsid w:val="6D69549E"/>
    <w:rsid w:val="6F0A08FB"/>
    <w:rsid w:val="6F9D39F9"/>
    <w:rsid w:val="6FAA5319"/>
    <w:rsid w:val="70C00CFC"/>
    <w:rsid w:val="70EC5DDE"/>
    <w:rsid w:val="71827C9A"/>
    <w:rsid w:val="718A7AD1"/>
    <w:rsid w:val="725F0F5E"/>
    <w:rsid w:val="74754708"/>
    <w:rsid w:val="75530B22"/>
    <w:rsid w:val="7693567A"/>
    <w:rsid w:val="76992564"/>
    <w:rsid w:val="78623556"/>
    <w:rsid w:val="78BF1162"/>
    <w:rsid w:val="78ED7228"/>
    <w:rsid w:val="791050C4"/>
    <w:rsid w:val="7A995213"/>
    <w:rsid w:val="7B5E6B6C"/>
    <w:rsid w:val="7C5E4034"/>
    <w:rsid w:val="7CF03EF7"/>
    <w:rsid w:val="7CF94BAB"/>
    <w:rsid w:val="7D4877A8"/>
    <w:rsid w:val="7DDB11BF"/>
    <w:rsid w:val="7E88183C"/>
    <w:rsid w:val="7FAA03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0"/>
    <w:rPr>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11043</Words>
  <Characters>11732</Characters>
  <Lines>72</Lines>
  <Paragraphs>20</Paragraphs>
  <TotalTime>0</TotalTime>
  <ScaleCrop>false</ScaleCrop>
  <LinksUpToDate>false</LinksUpToDate>
  <CharactersWithSpaces>11882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2023-08-11T03:37:06Z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616629149ABA474B8CA27F686D6F27C8</vt:lpwstr>
  </property>
</Properties>
</file>